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19552" behindDoc="1" locked="0" layoutInCell="1" allowOverlap="1" wp14:anchorId="3CC22DAB" wp14:editId="07B5C87C">
            <wp:simplePos x="0" y="0"/>
            <wp:positionH relativeFrom="page">
              <wp:align>left</wp:align>
            </wp:positionH>
            <wp:positionV relativeFrom="paragraph">
              <wp:posOffset>-1027652</wp:posOffset>
            </wp:positionV>
            <wp:extent cx="7819428" cy="10132037"/>
            <wp:effectExtent l="0" t="0" r="0" b="317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19428" cy="10132037"/>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2939C09C" w:rsidR="00612CD8" w:rsidRDefault="00AD28C0" w:rsidP="001D0504">
      <w:pPr>
        <w:pStyle w:val="TDC1"/>
      </w:pPr>
      <w:r w:rsidRPr="00BA025F">
        <w:fldChar w:fldCharType="begin"/>
      </w:r>
      <w:r w:rsidR="004E596A" w:rsidRPr="00BA025F">
        <w:instrText xml:space="preserve"> TOC \o "1-3" \u </w:instrText>
      </w:r>
      <w:r w:rsidRPr="00BA025F">
        <w:fldChar w:fldCharType="separate"/>
      </w:r>
      <w:r w:rsidR="00F22B0A">
        <w:rPr>
          <w:rFonts w:ascii="GalanoGrotesque-Black" w:hAnsi="GalanoGrotesque-Black"/>
        </w:rPr>
        <w:t>Pr</w:t>
      </w:r>
      <w:r w:rsidR="00311675">
        <w:rPr>
          <w:rFonts w:ascii="GalanoGrotesque-Black" w:hAnsi="GalanoGrotesque-Black"/>
        </w:rPr>
        <w:t>òlogo</w:t>
      </w:r>
      <w:r w:rsidR="00612CD8" w:rsidRPr="00BA025F">
        <w:tab/>
      </w:r>
      <w:r w:rsidR="00F90184">
        <w:t>2</w:t>
      </w:r>
    </w:p>
    <w:p w14:paraId="5E720819" w14:textId="28005D27" w:rsidR="00311675" w:rsidRDefault="00311675" w:rsidP="00311675">
      <w:pPr>
        <w:pStyle w:val="TDC1"/>
      </w:pPr>
      <w:r>
        <w:rPr>
          <w:rFonts w:ascii="GalanoGrotesque-Black" w:hAnsi="GalanoGrotesque-Black"/>
        </w:rPr>
        <w:t>Panorama e</w:t>
      </w:r>
      <w:r w:rsidR="00F90184">
        <w:rPr>
          <w:rFonts w:ascii="GalanoGrotesque-Black" w:hAnsi="GalanoGrotesque-Black"/>
        </w:rPr>
        <w:t>c</w:t>
      </w:r>
      <w:r>
        <w:rPr>
          <w:rFonts w:ascii="GalanoGrotesque-Black" w:hAnsi="GalanoGrotesque-Black"/>
        </w:rPr>
        <w:t>onómico global</w:t>
      </w:r>
      <w:r w:rsidRPr="00BA025F">
        <w:tab/>
      </w:r>
      <w:r w:rsidR="00F90184">
        <w:t>8</w:t>
      </w:r>
    </w:p>
    <w:p w14:paraId="119CC4BC" w14:textId="4490DBDB" w:rsidR="00DF64CF" w:rsidRDefault="00DF64CF" w:rsidP="00DF64CF">
      <w:pPr>
        <w:pStyle w:val="TDC1"/>
      </w:pPr>
      <w:r>
        <w:rPr>
          <w:rFonts w:ascii="GalanoGrotesque-Black" w:hAnsi="GalanoGrotesque-Black"/>
        </w:rPr>
        <w:t>Indicadores de postura fiscal</w:t>
      </w:r>
      <w:r w:rsidRPr="00BA025F">
        <w:tab/>
      </w:r>
      <w:r w:rsidR="00311675">
        <w:t>1</w:t>
      </w:r>
      <w:r w:rsidR="00F90184">
        <w:t>1</w:t>
      </w:r>
    </w:p>
    <w:p w14:paraId="4634247A" w14:textId="6D456AD9" w:rsidR="00DF64CF" w:rsidRDefault="00DF64CF" w:rsidP="00DF64CF">
      <w:pPr>
        <w:pStyle w:val="TDC1"/>
      </w:pPr>
      <w:r>
        <w:rPr>
          <w:rFonts w:ascii="GalanoGrotesque-Black" w:hAnsi="GalanoGrotesque-Black"/>
        </w:rPr>
        <w:t>Comportamiento de la deuda pública</w:t>
      </w:r>
      <w:r w:rsidRPr="00BA025F">
        <w:tab/>
      </w:r>
      <w:r w:rsidR="00311675">
        <w:t>1</w:t>
      </w:r>
      <w:r w:rsidR="00F90184">
        <w:t>3</w:t>
      </w:r>
    </w:p>
    <w:p w14:paraId="596839C6" w14:textId="1C423361" w:rsidR="00DF64CF" w:rsidRDefault="00DF64CF" w:rsidP="00DF64CF">
      <w:pPr>
        <w:pStyle w:val="TDC1"/>
      </w:pPr>
      <w:r>
        <w:rPr>
          <w:rFonts w:ascii="GalanoGrotesque-Black" w:hAnsi="GalanoGrotesque-Black"/>
        </w:rPr>
        <w:t>Comportamiento de los ingresos</w:t>
      </w:r>
      <w:r w:rsidRPr="00BA025F">
        <w:tab/>
      </w:r>
      <w:r w:rsidR="00F90184">
        <w:t>16</w:t>
      </w:r>
    </w:p>
    <w:p w14:paraId="0E7D4650" w14:textId="57BC77DD" w:rsidR="00DF64CF" w:rsidRDefault="00DF64CF" w:rsidP="00DF64CF">
      <w:pPr>
        <w:pStyle w:val="TDC1"/>
      </w:pPr>
      <w:r>
        <w:rPr>
          <w:rFonts w:ascii="GalanoGrotesque-Black" w:hAnsi="GalanoGrotesque-Black"/>
        </w:rPr>
        <w:t>Comportamiento del gasto público</w:t>
      </w:r>
      <w:r w:rsidRPr="00BA025F">
        <w:tab/>
      </w:r>
      <w:r w:rsidR="00E04C32">
        <w:t>19</w:t>
      </w:r>
    </w:p>
    <w:p w14:paraId="3F82948D" w14:textId="1D5CADF9" w:rsidR="003B1790" w:rsidRDefault="00605863" w:rsidP="003B1790">
      <w:pPr>
        <w:pStyle w:val="TDC1"/>
      </w:pPr>
      <w:r>
        <w:rPr>
          <w:rFonts w:ascii="GalanoGrotesque-Black" w:hAnsi="GalanoGrotesque-Black"/>
        </w:rPr>
        <w:t>Conclusión</w:t>
      </w:r>
      <w:r w:rsidR="003B1790" w:rsidRPr="00BA025F">
        <w:tab/>
      </w:r>
      <w:r w:rsidR="00E04C32">
        <w:t>22</w:t>
      </w:r>
    </w:p>
    <w:p w14:paraId="7031BF3E" w14:textId="77777777" w:rsidR="003B1790" w:rsidRPr="003B1790" w:rsidRDefault="003B1790" w:rsidP="003B1790"/>
    <w:p w14:paraId="02FF278C" w14:textId="77777777" w:rsidR="00DF64CF" w:rsidRPr="00DF64CF" w:rsidRDefault="00DF64CF" w:rsidP="00DF64CF"/>
    <w:p w14:paraId="2EAA4413" w14:textId="77777777" w:rsidR="00DF64CF" w:rsidRPr="00DF64CF" w:rsidRDefault="00DF64CF" w:rsidP="00DF64CF"/>
    <w:p w14:paraId="35BA3FF7" w14:textId="77777777" w:rsidR="00D63400" w:rsidRDefault="00AD28C0" w:rsidP="00BC675D">
      <w:pPr>
        <w:pStyle w:val="TDC1"/>
      </w:pPr>
      <w:r w:rsidRPr="00BA025F">
        <w:fldChar w:fldCharType="end"/>
      </w:r>
    </w:p>
    <w:p w14:paraId="5221C56F" w14:textId="77777777" w:rsidR="0028137C" w:rsidRDefault="0028137C" w:rsidP="0028137C"/>
    <w:p w14:paraId="3B903125" w14:textId="77777777" w:rsidR="0028137C" w:rsidRDefault="0028137C" w:rsidP="0028137C"/>
    <w:p w14:paraId="4121F740" w14:textId="77777777" w:rsidR="00311675" w:rsidRDefault="00311675" w:rsidP="0028137C"/>
    <w:p w14:paraId="450C444C" w14:textId="77777777" w:rsidR="00311675" w:rsidRDefault="00311675" w:rsidP="0028137C"/>
    <w:p w14:paraId="0BEC84AB" w14:textId="77777777" w:rsidR="00311675" w:rsidRDefault="00311675" w:rsidP="0028137C"/>
    <w:p w14:paraId="214421D3" w14:textId="77777777" w:rsidR="00311675" w:rsidRDefault="00311675" w:rsidP="0028137C"/>
    <w:p w14:paraId="19A37A12" w14:textId="77777777" w:rsidR="00311675" w:rsidRDefault="00311675" w:rsidP="0028137C"/>
    <w:p w14:paraId="127B1484" w14:textId="77777777" w:rsidR="00311675" w:rsidRDefault="00311675" w:rsidP="0028137C"/>
    <w:p w14:paraId="13B55A98" w14:textId="77777777" w:rsidR="00311675" w:rsidRDefault="00311675" w:rsidP="0028137C"/>
    <w:p w14:paraId="3F7AC923" w14:textId="77777777" w:rsidR="00311675" w:rsidRDefault="00311675" w:rsidP="0028137C"/>
    <w:p w14:paraId="1359D60C" w14:textId="77777777" w:rsidR="00311675" w:rsidRDefault="00311675" w:rsidP="0028137C"/>
    <w:p w14:paraId="4741D05A" w14:textId="77777777" w:rsidR="00311675" w:rsidRDefault="00311675" w:rsidP="0028137C"/>
    <w:p w14:paraId="13DB7CA7" w14:textId="77777777" w:rsidR="00311675" w:rsidRDefault="00311675" w:rsidP="0028137C"/>
    <w:p w14:paraId="62AFB1AB" w14:textId="77777777" w:rsidR="007126E7" w:rsidRDefault="007126E7" w:rsidP="0028137C"/>
    <w:p w14:paraId="3ABE6306" w14:textId="30601E3C" w:rsidR="00311675" w:rsidRDefault="00311675" w:rsidP="0028137C"/>
    <w:p w14:paraId="733EC4CA" w14:textId="0EA192FC" w:rsidR="0028137C" w:rsidRDefault="0028137C" w:rsidP="0028137C"/>
    <w:p w14:paraId="75D2F8B3" w14:textId="77777777" w:rsidR="0028137C" w:rsidRDefault="0028137C" w:rsidP="0028137C"/>
    <w:p w14:paraId="2E11E2CE" w14:textId="26B20E28" w:rsidR="0028137C" w:rsidRDefault="007126E7" w:rsidP="0028137C">
      <w:r>
        <w:rPr>
          <w:noProof/>
          <w:color w:val="864A04" w:themeColor="accent2" w:themeShade="80"/>
          <w:lang w:val="es-MX" w:eastAsia="es-MX"/>
        </w:rPr>
        <w:drawing>
          <wp:anchor distT="0" distB="0" distL="114300" distR="114300" simplePos="0" relativeHeight="252121600" behindDoc="1" locked="0" layoutInCell="1" allowOverlap="1" wp14:anchorId="4D91A657" wp14:editId="573716A9">
            <wp:simplePos x="0" y="0"/>
            <wp:positionH relativeFrom="margin">
              <wp:align>right</wp:align>
            </wp:positionH>
            <wp:positionV relativeFrom="paragraph">
              <wp:posOffset>11430</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72D8C410" w14:textId="5A3B0EC2"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7D631093" w14:textId="77777777" w:rsidR="007126E7" w:rsidRDefault="007126E7" w:rsidP="00311675"/>
    <w:p w14:paraId="5C7FE3E4" w14:textId="77777777" w:rsidR="007126E7" w:rsidRDefault="007126E7" w:rsidP="00311675"/>
    <w:p w14:paraId="315691D9" w14:textId="77777777" w:rsidR="007126E7" w:rsidRDefault="007126E7" w:rsidP="00311675"/>
    <w:p w14:paraId="6125FA83" w14:textId="77777777" w:rsidR="007126E7" w:rsidRDefault="007126E7" w:rsidP="00311675"/>
    <w:p w14:paraId="090854C7" w14:textId="77777777" w:rsidR="007126E7" w:rsidRDefault="007126E7" w:rsidP="00311675"/>
    <w:p w14:paraId="1FA8F9F6" w14:textId="77777777" w:rsidR="007126E7" w:rsidRDefault="007126E7" w:rsidP="00311675"/>
    <w:p w14:paraId="308A1787" w14:textId="77777777" w:rsidR="007126E7" w:rsidRDefault="007126E7" w:rsidP="00311675"/>
    <w:p w14:paraId="3CB5629F" w14:textId="77777777" w:rsidR="007126E7" w:rsidRDefault="007126E7" w:rsidP="00311675"/>
    <w:p w14:paraId="3883ABE5" w14:textId="77777777" w:rsidR="007126E7" w:rsidRPr="0083045C" w:rsidRDefault="007126E7" w:rsidP="00311675">
      <w:pPr>
        <w:rPr>
          <w:sz w:val="22"/>
          <w:szCs w:val="22"/>
        </w:rPr>
      </w:pPr>
    </w:p>
    <w:p w14:paraId="52C7D024" w14:textId="1FDEFEB5"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lastRenderedPageBreak/>
        <w:t>A nombre del Titular del Poder Ejecutivo del Estado de Michoacán de Ocampo, la Secretaría de Finanzas y Administración hace entrega a la LXXV</w:t>
      </w:r>
      <w:r w:rsidR="009E0B7E">
        <w:rPr>
          <w:rFonts w:eastAsiaTheme="majorEastAsia" w:cstheme="majorBidi"/>
          <w:bCs/>
          <w:color w:val="000000" w:themeColor="text1"/>
          <w:sz w:val="22"/>
          <w:szCs w:val="28"/>
        </w:rPr>
        <w:t>I</w:t>
      </w:r>
      <w:r w:rsidRPr="00D613AA">
        <w:rPr>
          <w:rFonts w:eastAsiaTheme="majorEastAsia" w:cstheme="majorBidi"/>
          <w:bCs/>
          <w:color w:val="000000" w:themeColor="text1"/>
          <w:sz w:val="22"/>
          <w:szCs w:val="28"/>
        </w:rPr>
        <w:t xml:space="preserve"> Legislatura del H. Congreso la Cuenta Pública de la Hacienda Estatal correspondiente al ejercicio fiscal 202</w:t>
      </w:r>
      <w:r w:rsidR="00E86FB5">
        <w:rPr>
          <w:rFonts w:eastAsiaTheme="majorEastAsia" w:cstheme="majorBidi"/>
          <w:bCs/>
          <w:color w:val="000000" w:themeColor="text1"/>
          <w:sz w:val="22"/>
          <w:szCs w:val="28"/>
        </w:rPr>
        <w:t>5</w:t>
      </w:r>
      <w:r w:rsidRPr="00D613AA">
        <w:rPr>
          <w:rFonts w:eastAsiaTheme="majorEastAsia" w:cstheme="majorBidi"/>
          <w:bCs/>
          <w:color w:val="000000" w:themeColor="text1"/>
          <w:sz w:val="22"/>
          <w:szCs w:val="28"/>
        </w:rPr>
        <w:t>.</w:t>
      </w:r>
    </w:p>
    <w:p w14:paraId="5688E4CC" w14:textId="77777777" w:rsidR="00D613AA" w:rsidRPr="00D613AA" w:rsidRDefault="00D613AA" w:rsidP="00D613AA">
      <w:pPr>
        <w:rPr>
          <w:rFonts w:eastAsiaTheme="majorEastAsia" w:cstheme="majorBidi"/>
          <w:bCs/>
          <w:color w:val="000000" w:themeColor="text1"/>
          <w:sz w:val="22"/>
          <w:szCs w:val="28"/>
        </w:rPr>
      </w:pPr>
    </w:p>
    <w:p w14:paraId="5CBE3947" w14:textId="2B9FFF76"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Con este informe, el Ejecutivo del Estado da cumplimiento en estricta conformidad a lo dispuesto por los artículos 60 fracción VIII de la Constitución Política del Estado Libre y Sober</w:t>
      </w:r>
      <w:r w:rsidR="001326CC">
        <w:rPr>
          <w:rFonts w:eastAsiaTheme="majorEastAsia" w:cstheme="majorBidi"/>
          <w:bCs/>
          <w:color w:val="000000" w:themeColor="text1"/>
          <w:sz w:val="22"/>
          <w:szCs w:val="28"/>
        </w:rPr>
        <w:t>ano de Michoacán de Ocampo, y 39 y 42</w:t>
      </w:r>
      <w:r w:rsidRPr="00D613AA">
        <w:rPr>
          <w:rFonts w:eastAsiaTheme="majorEastAsia" w:cstheme="majorBidi"/>
          <w:bCs/>
          <w:color w:val="000000" w:themeColor="text1"/>
          <w:sz w:val="22"/>
          <w:szCs w:val="28"/>
        </w:rPr>
        <w:t xml:space="preserve">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08A84A76" w14:textId="77777777" w:rsidR="00D613AA" w:rsidRPr="00D613AA" w:rsidRDefault="00D613AA" w:rsidP="00D613AA">
      <w:pPr>
        <w:rPr>
          <w:rFonts w:eastAsiaTheme="majorEastAsia" w:cstheme="majorBidi"/>
          <w:bCs/>
          <w:color w:val="000000" w:themeColor="text1"/>
          <w:sz w:val="22"/>
          <w:szCs w:val="28"/>
        </w:rPr>
      </w:pPr>
    </w:p>
    <w:p w14:paraId="3B3D5966"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La información contenida en este informe atiende a lo dispuesto por los siguientes ordenamientos:</w:t>
      </w:r>
    </w:p>
    <w:p w14:paraId="3B9B714D" w14:textId="77777777" w:rsidR="00D613AA" w:rsidRPr="00D613AA" w:rsidRDefault="00D613AA" w:rsidP="00D613AA">
      <w:pPr>
        <w:rPr>
          <w:rFonts w:eastAsiaTheme="majorEastAsia" w:cstheme="majorBidi"/>
          <w:bCs/>
          <w:color w:val="000000" w:themeColor="text1"/>
          <w:sz w:val="22"/>
          <w:szCs w:val="28"/>
        </w:rPr>
      </w:pPr>
    </w:p>
    <w:p w14:paraId="5556693E" w14:textId="7CCE1575"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xml:space="preserve">· Artículos 52, 53 y 54 de la Ley General de Contabilidad Gubernamental, publicada en el Diario Oficial de la Federación el 31 de diciembre del 2008; última reforma publicada en el Diario Oficial de la Federación el </w:t>
      </w:r>
      <w:r w:rsidR="001326CC">
        <w:rPr>
          <w:rFonts w:eastAsiaTheme="majorEastAsia" w:cstheme="majorBidi"/>
          <w:bCs/>
          <w:color w:val="000000" w:themeColor="text1"/>
          <w:sz w:val="22"/>
          <w:szCs w:val="28"/>
        </w:rPr>
        <w:t>16 de julio de 2025</w:t>
      </w:r>
      <w:r w:rsidRPr="00D613AA">
        <w:rPr>
          <w:rFonts w:eastAsiaTheme="majorEastAsia" w:cstheme="majorBidi"/>
          <w:bCs/>
          <w:color w:val="000000" w:themeColor="text1"/>
          <w:sz w:val="22"/>
          <w:szCs w:val="28"/>
        </w:rPr>
        <w:t>; la cual establece los criterios generales de Responsabilidad Hacendaria y Financiera que rigen al Estado y los Municipios, así como a sus respectivos Entes Públicos.</w:t>
      </w:r>
    </w:p>
    <w:p w14:paraId="6F105A4B" w14:textId="77777777" w:rsidR="00D613AA" w:rsidRPr="00D613AA" w:rsidRDefault="00D613AA" w:rsidP="00D613AA">
      <w:pPr>
        <w:rPr>
          <w:rFonts w:eastAsiaTheme="majorEastAsia" w:cstheme="majorBidi"/>
          <w:bCs/>
          <w:color w:val="000000" w:themeColor="text1"/>
          <w:sz w:val="22"/>
          <w:szCs w:val="28"/>
        </w:rPr>
      </w:pPr>
    </w:p>
    <w:p w14:paraId="6164E93A"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Ley de Planeación Hacendaria, Presupuesto, Gasto Público y Contabilidad Gubernamental del Estado de Michoacán de Ocampo publicada en el Periódico Oficial de Gobierno Constitucional de Michoacán de Ocampo el 20 de marzo de 2014; última reforma publicada en el Periódico Oficial del Gobierno Constitucional del Estado de Michoacán de Ocampo el 20 de diciembre de 2023.</w:t>
      </w:r>
    </w:p>
    <w:p w14:paraId="77544B2E" w14:textId="77777777" w:rsidR="00D613AA" w:rsidRPr="00D613AA" w:rsidRDefault="00D613AA" w:rsidP="00D613AA">
      <w:pPr>
        <w:rPr>
          <w:rFonts w:eastAsiaTheme="majorEastAsia" w:cstheme="majorBidi"/>
          <w:bCs/>
          <w:color w:val="000000" w:themeColor="text1"/>
          <w:sz w:val="22"/>
          <w:szCs w:val="28"/>
        </w:rPr>
      </w:pPr>
    </w:p>
    <w:p w14:paraId="4642C02B" w14:textId="600F8D4B"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“Acuerdo por el que se Armoniza la Estructura de las Cuentas Públicas”, emitido por el Consejo Nacional de Armonización Contable y publicado en el Diario Oficial de la Federación el 30 de diciembre de 2013, in</w:t>
      </w:r>
      <w:r w:rsidR="001326CC">
        <w:rPr>
          <w:rFonts w:eastAsiaTheme="majorEastAsia" w:cstheme="majorBidi"/>
          <w:bCs/>
          <w:color w:val="000000" w:themeColor="text1"/>
          <w:sz w:val="22"/>
          <w:szCs w:val="28"/>
        </w:rPr>
        <w:t>cluyendo la última reforma del 10 de diciembre de 2025</w:t>
      </w:r>
      <w:r w:rsidRPr="00D613AA">
        <w:rPr>
          <w:rFonts w:eastAsiaTheme="majorEastAsia" w:cstheme="majorBidi"/>
          <w:bCs/>
          <w:color w:val="000000" w:themeColor="text1"/>
          <w:sz w:val="22"/>
          <w:szCs w:val="28"/>
        </w:rPr>
        <w:t>.</w:t>
      </w:r>
    </w:p>
    <w:p w14:paraId="09D2FCC7" w14:textId="06114F22"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lastRenderedPageBreak/>
        <w:t xml:space="preserve">·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w:t>
      </w:r>
      <w:r w:rsidR="001326CC">
        <w:rPr>
          <w:rFonts w:eastAsiaTheme="majorEastAsia" w:cstheme="majorBidi"/>
          <w:bCs/>
          <w:color w:val="000000" w:themeColor="text1"/>
          <w:sz w:val="22"/>
          <w:szCs w:val="28"/>
        </w:rPr>
        <w:t>10 de diciembre de 2025</w:t>
      </w:r>
      <w:r w:rsidRPr="00D613AA">
        <w:rPr>
          <w:rFonts w:eastAsiaTheme="majorEastAsia" w:cstheme="majorBidi"/>
          <w:bCs/>
          <w:color w:val="000000" w:themeColor="text1"/>
          <w:sz w:val="22"/>
          <w:szCs w:val="28"/>
        </w:rPr>
        <w:t>.</w:t>
      </w:r>
    </w:p>
    <w:p w14:paraId="2D76F88B" w14:textId="77777777" w:rsidR="00311675" w:rsidRPr="0083045C" w:rsidRDefault="00311675" w:rsidP="00311675">
      <w:pPr>
        <w:rPr>
          <w:sz w:val="22"/>
          <w:szCs w:val="22"/>
        </w:rPr>
      </w:pPr>
    </w:p>
    <w:p w14:paraId="4829AAE9" w14:textId="77777777" w:rsidR="00311675" w:rsidRPr="0083045C" w:rsidRDefault="00311675" w:rsidP="00311675">
      <w:pPr>
        <w:rPr>
          <w:sz w:val="22"/>
          <w:szCs w:val="22"/>
        </w:rPr>
      </w:pPr>
      <w:r w:rsidRPr="0083045C">
        <w:rPr>
          <w:sz w:val="22"/>
          <w:szCs w:val="22"/>
        </w:rPr>
        <w:t>Para efectos de la formulación de los estados financieros que se consolidan son los siguientes:</w:t>
      </w:r>
    </w:p>
    <w:p w14:paraId="018E9240" w14:textId="77777777" w:rsidR="00311675" w:rsidRPr="0083045C" w:rsidRDefault="00311675" w:rsidP="00311675">
      <w:pPr>
        <w:rPr>
          <w:sz w:val="22"/>
          <w:szCs w:val="22"/>
        </w:rPr>
      </w:pPr>
      <w:r w:rsidRPr="0083045C">
        <w:rPr>
          <w:sz w:val="22"/>
          <w:szCs w:val="22"/>
        </w:rPr>
        <w:t>· Estado de Situación Financiera</w:t>
      </w:r>
    </w:p>
    <w:p w14:paraId="558D606A" w14:textId="77777777" w:rsidR="00311675" w:rsidRPr="0083045C" w:rsidRDefault="00311675" w:rsidP="00311675">
      <w:pPr>
        <w:rPr>
          <w:sz w:val="22"/>
          <w:szCs w:val="22"/>
        </w:rPr>
      </w:pPr>
      <w:r w:rsidRPr="0083045C">
        <w:rPr>
          <w:sz w:val="22"/>
          <w:szCs w:val="22"/>
        </w:rPr>
        <w:t>· Estado de Actividades</w:t>
      </w:r>
    </w:p>
    <w:p w14:paraId="2BB8A112" w14:textId="77777777" w:rsidR="00311675" w:rsidRPr="0083045C" w:rsidRDefault="00311675" w:rsidP="00311675">
      <w:pPr>
        <w:rPr>
          <w:sz w:val="22"/>
          <w:szCs w:val="22"/>
        </w:rPr>
      </w:pPr>
      <w:r w:rsidRPr="0083045C">
        <w:rPr>
          <w:sz w:val="22"/>
          <w:szCs w:val="22"/>
        </w:rPr>
        <w:t>· Estado de Variación en la Hacienda Pública</w:t>
      </w:r>
    </w:p>
    <w:p w14:paraId="6507F752" w14:textId="77777777" w:rsidR="00311675" w:rsidRPr="0083045C" w:rsidRDefault="00311675" w:rsidP="00311675">
      <w:pPr>
        <w:rPr>
          <w:sz w:val="22"/>
          <w:szCs w:val="22"/>
        </w:rPr>
      </w:pPr>
      <w:r w:rsidRPr="0083045C">
        <w:rPr>
          <w:sz w:val="22"/>
          <w:szCs w:val="22"/>
        </w:rPr>
        <w:t>· Estado de Cambios en la Situación Financiera</w:t>
      </w:r>
    </w:p>
    <w:p w14:paraId="7DA7DF13" w14:textId="77777777" w:rsidR="00311675" w:rsidRPr="0083045C" w:rsidRDefault="00311675" w:rsidP="00311675">
      <w:pPr>
        <w:rPr>
          <w:sz w:val="22"/>
          <w:szCs w:val="22"/>
        </w:rPr>
      </w:pPr>
      <w:r w:rsidRPr="0083045C">
        <w:rPr>
          <w:sz w:val="22"/>
          <w:szCs w:val="22"/>
        </w:rPr>
        <w:t>· Estado de Flujo de Efectivo</w:t>
      </w:r>
    </w:p>
    <w:p w14:paraId="2C25D763" w14:textId="77777777" w:rsidR="00311675" w:rsidRPr="0083045C" w:rsidRDefault="00311675" w:rsidP="00311675">
      <w:pPr>
        <w:rPr>
          <w:sz w:val="22"/>
          <w:szCs w:val="22"/>
        </w:rPr>
      </w:pPr>
    </w:p>
    <w:p w14:paraId="42C4B1A1" w14:textId="251F7600" w:rsidR="00311675" w:rsidRPr="0083045C" w:rsidRDefault="00311675" w:rsidP="00311675">
      <w:pPr>
        <w:rPr>
          <w:sz w:val="22"/>
          <w:szCs w:val="22"/>
        </w:rPr>
      </w:pPr>
      <w:r w:rsidRPr="0083045C">
        <w:rPr>
          <w:sz w:val="22"/>
          <w:szCs w:val="22"/>
        </w:rPr>
        <w:t>Por lo cual, la información que se presenta se encuentra clasificada de la siguiente forma:</w:t>
      </w:r>
    </w:p>
    <w:p w14:paraId="0EDF3DF7" w14:textId="77777777" w:rsidR="00311675" w:rsidRPr="0083045C" w:rsidRDefault="00311675" w:rsidP="00311675">
      <w:pPr>
        <w:rPr>
          <w:sz w:val="22"/>
          <w:szCs w:val="22"/>
        </w:rPr>
      </w:pPr>
    </w:p>
    <w:p w14:paraId="2558E35B" w14:textId="77777777" w:rsidR="00311675" w:rsidRPr="0083045C" w:rsidRDefault="00311675" w:rsidP="00311675">
      <w:pPr>
        <w:rPr>
          <w:sz w:val="22"/>
          <w:szCs w:val="22"/>
        </w:rPr>
      </w:pPr>
      <w:r w:rsidRPr="0083045C">
        <w:rPr>
          <w:sz w:val="22"/>
          <w:szCs w:val="22"/>
        </w:rPr>
        <w:t>· Información Contable, que contiene el Estado de Situación Financiera, Estado de Actividades, Estado de Variación en la Hacienda Pública, Estado de Cambios en la Situación Financiera y el Flujo de Efectivo, Información Presupuestaria, Información Programática y Anexos.</w:t>
      </w:r>
    </w:p>
    <w:p w14:paraId="5E16DD7E" w14:textId="77777777" w:rsidR="00311675" w:rsidRPr="0083045C" w:rsidRDefault="00311675" w:rsidP="00311675">
      <w:pPr>
        <w:rPr>
          <w:sz w:val="22"/>
          <w:szCs w:val="22"/>
        </w:rPr>
      </w:pPr>
    </w:p>
    <w:p w14:paraId="2E3C16E5" w14:textId="77777777" w:rsidR="00311675" w:rsidRPr="0083045C" w:rsidRDefault="00311675" w:rsidP="00311675">
      <w:pPr>
        <w:rPr>
          <w:sz w:val="22"/>
          <w:szCs w:val="22"/>
        </w:rPr>
      </w:pPr>
      <w:r w:rsidRPr="0083045C">
        <w:rPr>
          <w:sz w:val="22"/>
          <w:szCs w:val="22"/>
        </w:rPr>
        <w:t>· Formatos de la Ley de Disciplina Financiera.</w:t>
      </w:r>
    </w:p>
    <w:p w14:paraId="52472D27" w14:textId="77777777" w:rsidR="00311675" w:rsidRPr="0083045C" w:rsidRDefault="00311675" w:rsidP="00311675">
      <w:pPr>
        <w:rPr>
          <w:sz w:val="22"/>
          <w:szCs w:val="22"/>
        </w:rPr>
      </w:pPr>
    </w:p>
    <w:p w14:paraId="0F9C0278" w14:textId="14A34D87" w:rsidR="00311675" w:rsidRPr="0083045C" w:rsidRDefault="00311675" w:rsidP="00311675">
      <w:pPr>
        <w:rPr>
          <w:sz w:val="22"/>
          <w:szCs w:val="22"/>
        </w:rPr>
      </w:pPr>
      <w:r w:rsidRPr="0083045C">
        <w:rPr>
          <w:sz w:val="22"/>
          <w:szCs w:val="22"/>
        </w:rPr>
        <w:t xml:space="preserve">Así mismo, el Gobierno del Estado se ha dado a la tarea de hacer la consolidación de la información financiera presentada por los Entes de la Administración Pública Estatal, incluyendo los </w:t>
      </w:r>
      <w:r w:rsidR="0004555A" w:rsidRPr="0083045C">
        <w:rPr>
          <w:sz w:val="22"/>
          <w:szCs w:val="22"/>
        </w:rPr>
        <w:t>Poderes Ejecutivo, Legislativo,</w:t>
      </w:r>
      <w:r w:rsidRPr="0083045C">
        <w:rPr>
          <w:sz w:val="22"/>
          <w:szCs w:val="22"/>
        </w:rPr>
        <w:t xml:space="preserve"> Judicial</w:t>
      </w:r>
      <w:r w:rsidR="0004555A" w:rsidRPr="0083045C">
        <w:rPr>
          <w:sz w:val="22"/>
          <w:szCs w:val="22"/>
        </w:rPr>
        <w:t xml:space="preserve"> y</w:t>
      </w:r>
      <w:r w:rsidRPr="0083045C">
        <w:rPr>
          <w:sz w:val="22"/>
          <w:szCs w:val="22"/>
        </w:rPr>
        <w:t xml:space="preserve"> Organismos Autónomos.</w:t>
      </w:r>
    </w:p>
    <w:p w14:paraId="6F176C24" w14:textId="77777777" w:rsidR="00311675" w:rsidRPr="0083045C" w:rsidRDefault="00311675" w:rsidP="00311675">
      <w:pPr>
        <w:rPr>
          <w:sz w:val="22"/>
          <w:szCs w:val="22"/>
        </w:rPr>
      </w:pPr>
    </w:p>
    <w:p w14:paraId="709C83E8" w14:textId="77777777" w:rsidR="00311675" w:rsidRDefault="00311675" w:rsidP="00311675">
      <w:pPr>
        <w:rPr>
          <w:sz w:val="22"/>
          <w:szCs w:val="22"/>
        </w:rPr>
      </w:pPr>
      <w:r w:rsidRPr="0083045C">
        <w:rPr>
          <w:sz w:val="22"/>
          <w:szCs w:val="22"/>
        </w:rPr>
        <w:t>A continuación, se detalla el contenido y estructura del informe de la Cuenta Pública.</w:t>
      </w:r>
    </w:p>
    <w:p w14:paraId="1230E8DE" w14:textId="77777777" w:rsidR="00C02633" w:rsidRPr="0083045C" w:rsidRDefault="00C02633" w:rsidP="00311675">
      <w:pPr>
        <w:rPr>
          <w:sz w:val="22"/>
          <w:szCs w:val="22"/>
        </w:rPr>
      </w:pPr>
    </w:p>
    <w:p w14:paraId="3F7D4B99" w14:textId="77777777" w:rsidR="00311675" w:rsidRPr="0083045C" w:rsidRDefault="00311675" w:rsidP="00311675">
      <w:pPr>
        <w:rPr>
          <w:sz w:val="22"/>
          <w:szCs w:val="22"/>
        </w:rPr>
      </w:pPr>
      <w:r w:rsidRPr="0083045C">
        <w:rPr>
          <w:sz w:val="22"/>
          <w:szCs w:val="22"/>
        </w:rPr>
        <w:lastRenderedPageBreak/>
        <w:t>Tomo I Resultados Generales</w:t>
      </w:r>
    </w:p>
    <w:p w14:paraId="44CA1136" w14:textId="77777777" w:rsidR="00311675" w:rsidRPr="0083045C" w:rsidRDefault="00311675" w:rsidP="00311675">
      <w:pPr>
        <w:rPr>
          <w:sz w:val="22"/>
          <w:szCs w:val="22"/>
        </w:rPr>
      </w:pPr>
    </w:p>
    <w:p w14:paraId="17031C49" w14:textId="68EB4027" w:rsidR="00311675" w:rsidRPr="0083045C" w:rsidRDefault="00311675" w:rsidP="00311675">
      <w:pPr>
        <w:rPr>
          <w:sz w:val="22"/>
          <w:szCs w:val="22"/>
        </w:rPr>
      </w:pPr>
      <w:r w:rsidRPr="0083045C">
        <w:rPr>
          <w:sz w:val="22"/>
          <w:szCs w:val="22"/>
        </w:rPr>
        <w:t>Presenta los Indicadores de Postura Fiscal y el panorama global, nacional y local</w:t>
      </w:r>
      <w:r w:rsidR="0083045C" w:rsidRPr="0083045C">
        <w:rPr>
          <w:sz w:val="22"/>
          <w:szCs w:val="22"/>
        </w:rPr>
        <w:t>;</w:t>
      </w:r>
      <w:r w:rsidRPr="0083045C">
        <w:rPr>
          <w:sz w:val="22"/>
          <w:szCs w:val="22"/>
        </w:rPr>
        <w:t xml:space="preserve"> que así como la gestión gubernamental y el comportamiento de ingresos, egresos y deuda pública.</w:t>
      </w:r>
    </w:p>
    <w:p w14:paraId="6D60E3EC" w14:textId="77777777" w:rsidR="00311675" w:rsidRPr="0083045C" w:rsidRDefault="00311675" w:rsidP="00311675">
      <w:pPr>
        <w:rPr>
          <w:sz w:val="22"/>
          <w:szCs w:val="22"/>
        </w:rPr>
      </w:pPr>
    </w:p>
    <w:p w14:paraId="3914D8E9" w14:textId="77777777" w:rsidR="00311675" w:rsidRPr="0083045C" w:rsidRDefault="00311675" w:rsidP="00311675">
      <w:pPr>
        <w:rPr>
          <w:sz w:val="22"/>
          <w:szCs w:val="22"/>
        </w:rPr>
      </w:pPr>
      <w:r w:rsidRPr="0083045C">
        <w:rPr>
          <w:sz w:val="22"/>
          <w:szCs w:val="22"/>
        </w:rPr>
        <w:t>Tomo II Consolidación de la Cuenta Pública</w:t>
      </w:r>
    </w:p>
    <w:p w14:paraId="6FD22601" w14:textId="77777777" w:rsidR="00311675" w:rsidRPr="0083045C" w:rsidRDefault="00311675" w:rsidP="00311675">
      <w:pPr>
        <w:rPr>
          <w:sz w:val="22"/>
          <w:szCs w:val="22"/>
        </w:rPr>
      </w:pPr>
    </w:p>
    <w:p w14:paraId="6C08D984" w14:textId="77777777" w:rsidR="00311675" w:rsidRPr="0083045C" w:rsidRDefault="00311675" w:rsidP="00311675">
      <w:pPr>
        <w:rPr>
          <w:sz w:val="22"/>
          <w:szCs w:val="22"/>
        </w:rPr>
      </w:pPr>
      <w:r w:rsidRPr="0083045C">
        <w:rPr>
          <w:sz w:val="22"/>
          <w:szCs w:val="22"/>
        </w:rPr>
        <w:t>Presenta información contable consolidada de los entes públicos del Gobierno del Estado de Michoacán:</w:t>
      </w:r>
    </w:p>
    <w:p w14:paraId="2A8D7F30" w14:textId="77777777" w:rsidR="00311675" w:rsidRPr="0083045C" w:rsidRDefault="00311675" w:rsidP="00311675">
      <w:pPr>
        <w:rPr>
          <w:sz w:val="22"/>
          <w:szCs w:val="22"/>
        </w:rPr>
      </w:pPr>
    </w:p>
    <w:p w14:paraId="11550D03" w14:textId="630243AD" w:rsidR="00311675" w:rsidRPr="0083045C" w:rsidRDefault="00311675" w:rsidP="00311675">
      <w:pPr>
        <w:rPr>
          <w:sz w:val="22"/>
          <w:szCs w:val="22"/>
        </w:rPr>
      </w:pPr>
      <w:r w:rsidRPr="0083045C">
        <w:rPr>
          <w:sz w:val="22"/>
          <w:szCs w:val="22"/>
        </w:rPr>
        <w:t>Ø Poder Ejecutivo del Estado de Michoacán</w:t>
      </w:r>
      <w:r w:rsidR="0083045C" w:rsidRPr="0083045C">
        <w:rPr>
          <w:sz w:val="22"/>
          <w:szCs w:val="22"/>
        </w:rPr>
        <w:t xml:space="preserve"> de Ocampo</w:t>
      </w:r>
      <w:r w:rsidRPr="0083045C">
        <w:rPr>
          <w:sz w:val="22"/>
          <w:szCs w:val="22"/>
        </w:rPr>
        <w:t>.</w:t>
      </w:r>
    </w:p>
    <w:p w14:paraId="06E0E4E4" w14:textId="77777777" w:rsidR="00311675" w:rsidRPr="0083045C" w:rsidRDefault="00311675" w:rsidP="00311675">
      <w:pPr>
        <w:rPr>
          <w:sz w:val="22"/>
          <w:szCs w:val="22"/>
        </w:rPr>
      </w:pPr>
    </w:p>
    <w:p w14:paraId="7CB9A629" w14:textId="37266D50" w:rsidR="00311675" w:rsidRPr="0083045C" w:rsidRDefault="00311675" w:rsidP="00311675">
      <w:pPr>
        <w:rPr>
          <w:sz w:val="22"/>
          <w:szCs w:val="22"/>
        </w:rPr>
      </w:pPr>
      <w:r w:rsidRPr="0083045C">
        <w:rPr>
          <w:sz w:val="22"/>
          <w:szCs w:val="22"/>
        </w:rPr>
        <w:t>Ø Poder Legislativo del Estado de Michoacán</w:t>
      </w:r>
      <w:r w:rsidR="0083045C" w:rsidRPr="0083045C">
        <w:rPr>
          <w:sz w:val="22"/>
          <w:szCs w:val="22"/>
        </w:rPr>
        <w:t xml:space="preserve"> de Ocampo</w:t>
      </w:r>
      <w:r w:rsidRPr="0083045C">
        <w:rPr>
          <w:sz w:val="22"/>
          <w:szCs w:val="22"/>
        </w:rPr>
        <w:t>.</w:t>
      </w:r>
    </w:p>
    <w:p w14:paraId="792880F5" w14:textId="77777777" w:rsidR="00311675" w:rsidRPr="0083045C" w:rsidRDefault="00311675" w:rsidP="00311675">
      <w:pPr>
        <w:rPr>
          <w:sz w:val="22"/>
          <w:szCs w:val="22"/>
        </w:rPr>
      </w:pPr>
    </w:p>
    <w:p w14:paraId="21E81FD5" w14:textId="48A1357C" w:rsidR="00311675" w:rsidRPr="0083045C" w:rsidRDefault="00311675" w:rsidP="00311675">
      <w:pPr>
        <w:rPr>
          <w:sz w:val="22"/>
          <w:szCs w:val="22"/>
        </w:rPr>
      </w:pPr>
      <w:r w:rsidRPr="0083045C">
        <w:rPr>
          <w:sz w:val="22"/>
          <w:szCs w:val="22"/>
        </w:rPr>
        <w:t>Ø Poder Judicial del Estado de Michoacán</w:t>
      </w:r>
      <w:r w:rsidR="0083045C" w:rsidRPr="0083045C">
        <w:rPr>
          <w:sz w:val="22"/>
          <w:szCs w:val="22"/>
        </w:rPr>
        <w:t xml:space="preserve"> de Ocampo</w:t>
      </w:r>
      <w:r w:rsidRPr="0083045C">
        <w:rPr>
          <w:sz w:val="22"/>
          <w:szCs w:val="22"/>
        </w:rPr>
        <w:t>.</w:t>
      </w:r>
    </w:p>
    <w:p w14:paraId="6119E659" w14:textId="77777777" w:rsidR="00311675" w:rsidRPr="0083045C" w:rsidRDefault="00311675" w:rsidP="00311675">
      <w:pPr>
        <w:rPr>
          <w:sz w:val="22"/>
          <w:szCs w:val="22"/>
        </w:rPr>
      </w:pPr>
    </w:p>
    <w:p w14:paraId="39A6D879" w14:textId="2C0FBE61" w:rsidR="00311675" w:rsidRPr="0083045C" w:rsidRDefault="00311675" w:rsidP="00311675">
      <w:pPr>
        <w:rPr>
          <w:sz w:val="22"/>
          <w:szCs w:val="22"/>
        </w:rPr>
      </w:pPr>
      <w:r w:rsidRPr="0083045C">
        <w:rPr>
          <w:sz w:val="22"/>
          <w:szCs w:val="22"/>
        </w:rPr>
        <w:t>Ø Órganos Autónomos del Estado de Michoacán</w:t>
      </w:r>
      <w:r w:rsidR="0083045C" w:rsidRPr="0083045C">
        <w:rPr>
          <w:sz w:val="22"/>
          <w:szCs w:val="22"/>
        </w:rPr>
        <w:t xml:space="preserve"> de Ocampo</w:t>
      </w:r>
      <w:r w:rsidRPr="0083045C">
        <w:rPr>
          <w:sz w:val="22"/>
          <w:szCs w:val="22"/>
        </w:rPr>
        <w:t>.</w:t>
      </w:r>
    </w:p>
    <w:p w14:paraId="50CB6243" w14:textId="77777777" w:rsidR="00311675" w:rsidRPr="0083045C" w:rsidRDefault="00311675" w:rsidP="00311675">
      <w:pPr>
        <w:rPr>
          <w:sz w:val="22"/>
          <w:szCs w:val="22"/>
        </w:rPr>
      </w:pPr>
    </w:p>
    <w:p w14:paraId="2585890C" w14:textId="77777777" w:rsidR="00311675" w:rsidRPr="0083045C" w:rsidRDefault="00311675" w:rsidP="00311675">
      <w:pPr>
        <w:rPr>
          <w:sz w:val="22"/>
          <w:szCs w:val="22"/>
        </w:rPr>
      </w:pPr>
      <w:r w:rsidRPr="0083045C">
        <w:rPr>
          <w:sz w:val="22"/>
          <w:szCs w:val="22"/>
        </w:rPr>
        <w:t>TOMO III Poder Ejecutivo</w:t>
      </w:r>
    </w:p>
    <w:p w14:paraId="0EE749A2" w14:textId="77777777" w:rsidR="00311675" w:rsidRPr="0083045C" w:rsidRDefault="00311675" w:rsidP="00311675">
      <w:pPr>
        <w:rPr>
          <w:sz w:val="22"/>
          <w:szCs w:val="22"/>
        </w:rPr>
      </w:pPr>
    </w:p>
    <w:p w14:paraId="57E20185" w14:textId="79625327" w:rsidR="0004555A"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4C1CFC73" w14:textId="77777777" w:rsidR="00C02633" w:rsidRPr="0083045C" w:rsidRDefault="00C02633" w:rsidP="00311675">
      <w:pPr>
        <w:rPr>
          <w:sz w:val="22"/>
          <w:szCs w:val="22"/>
        </w:rPr>
      </w:pPr>
    </w:p>
    <w:p w14:paraId="65EED0C1" w14:textId="77777777" w:rsidR="00311675" w:rsidRPr="0083045C" w:rsidRDefault="00311675" w:rsidP="00311675">
      <w:pPr>
        <w:rPr>
          <w:sz w:val="22"/>
          <w:szCs w:val="22"/>
        </w:rPr>
      </w:pPr>
      <w:r w:rsidRPr="0083045C">
        <w:rPr>
          <w:sz w:val="22"/>
          <w:szCs w:val="22"/>
        </w:rPr>
        <w:t>TOMO IV Poder Legislativo</w:t>
      </w:r>
    </w:p>
    <w:p w14:paraId="15CB7307" w14:textId="77777777" w:rsidR="00311675" w:rsidRPr="0083045C" w:rsidRDefault="00311675" w:rsidP="00311675">
      <w:pPr>
        <w:rPr>
          <w:sz w:val="22"/>
          <w:szCs w:val="22"/>
        </w:rPr>
      </w:pPr>
    </w:p>
    <w:p w14:paraId="18B4AB08" w14:textId="0F0D963B"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6612180A" w14:textId="77777777" w:rsidR="00311675" w:rsidRPr="0083045C" w:rsidRDefault="00311675" w:rsidP="00311675">
      <w:pPr>
        <w:rPr>
          <w:sz w:val="22"/>
          <w:szCs w:val="22"/>
        </w:rPr>
      </w:pPr>
      <w:r w:rsidRPr="0083045C">
        <w:rPr>
          <w:sz w:val="22"/>
          <w:szCs w:val="22"/>
        </w:rPr>
        <w:lastRenderedPageBreak/>
        <w:t>TOMO V Poder Judicial</w:t>
      </w:r>
    </w:p>
    <w:p w14:paraId="5F311212" w14:textId="77777777" w:rsidR="00311675" w:rsidRPr="0083045C" w:rsidRDefault="00311675" w:rsidP="00311675">
      <w:pPr>
        <w:rPr>
          <w:sz w:val="22"/>
          <w:szCs w:val="22"/>
        </w:rPr>
      </w:pPr>
    </w:p>
    <w:p w14:paraId="788F1F97"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25BBE901" w14:textId="77777777" w:rsidR="00311675" w:rsidRPr="0083045C" w:rsidRDefault="00311675" w:rsidP="00311675">
      <w:pPr>
        <w:rPr>
          <w:sz w:val="22"/>
          <w:szCs w:val="22"/>
        </w:rPr>
      </w:pPr>
    </w:p>
    <w:p w14:paraId="34E69CA9" w14:textId="77777777" w:rsidR="00311675" w:rsidRPr="0083045C" w:rsidRDefault="00311675" w:rsidP="00311675">
      <w:pPr>
        <w:rPr>
          <w:sz w:val="22"/>
          <w:szCs w:val="22"/>
        </w:rPr>
      </w:pPr>
      <w:r w:rsidRPr="0083045C">
        <w:rPr>
          <w:sz w:val="22"/>
          <w:szCs w:val="22"/>
        </w:rPr>
        <w:t>TOMO VI Órganos Autónomos</w:t>
      </w:r>
    </w:p>
    <w:p w14:paraId="0E14DC4F" w14:textId="77777777" w:rsidR="00311675" w:rsidRPr="0083045C" w:rsidRDefault="00311675" w:rsidP="00311675">
      <w:pPr>
        <w:rPr>
          <w:sz w:val="22"/>
          <w:szCs w:val="22"/>
        </w:rPr>
      </w:pPr>
    </w:p>
    <w:p w14:paraId="51547F2A"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y los Municipios de los siguientes Órganos Autónomos:</w:t>
      </w:r>
    </w:p>
    <w:p w14:paraId="319F5E80" w14:textId="77777777" w:rsidR="00311675" w:rsidRPr="0083045C" w:rsidRDefault="00311675" w:rsidP="00311675">
      <w:pPr>
        <w:rPr>
          <w:sz w:val="22"/>
          <w:szCs w:val="22"/>
        </w:rPr>
      </w:pPr>
    </w:p>
    <w:p w14:paraId="49F93216" w14:textId="77777777" w:rsidR="00311675" w:rsidRPr="0083045C" w:rsidRDefault="00311675" w:rsidP="00311675">
      <w:pPr>
        <w:rPr>
          <w:sz w:val="22"/>
          <w:szCs w:val="22"/>
        </w:rPr>
      </w:pPr>
      <w:r w:rsidRPr="0083045C">
        <w:rPr>
          <w:sz w:val="22"/>
          <w:szCs w:val="22"/>
        </w:rPr>
        <w:t>•</w:t>
      </w:r>
      <w:r w:rsidRPr="0083045C">
        <w:rPr>
          <w:sz w:val="22"/>
          <w:szCs w:val="22"/>
        </w:rPr>
        <w:tab/>
        <w:t>Universidad Michoacana de San Nicolás de Hidalgo.</w:t>
      </w:r>
    </w:p>
    <w:p w14:paraId="78034ACF" w14:textId="77777777" w:rsidR="00311675" w:rsidRPr="0083045C" w:rsidRDefault="00311675" w:rsidP="00311675">
      <w:pPr>
        <w:rPr>
          <w:sz w:val="22"/>
          <w:szCs w:val="22"/>
        </w:rPr>
      </w:pPr>
    </w:p>
    <w:p w14:paraId="3159D8B8" w14:textId="77777777" w:rsidR="00311675" w:rsidRPr="0083045C" w:rsidRDefault="00311675" w:rsidP="00311675">
      <w:pPr>
        <w:rPr>
          <w:sz w:val="22"/>
          <w:szCs w:val="22"/>
        </w:rPr>
      </w:pPr>
      <w:r w:rsidRPr="0083045C">
        <w:rPr>
          <w:sz w:val="22"/>
          <w:szCs w:val="22"/>
        </w:rPr>
        <w:t>•</w:t>
      </w:r>
      <w:r w:rsidRPr="0083045C">
        <w:rPr>
          <w:sz w:val="22"/>
          <w:szCs w:val="22"/>
        </w:rPr>
        <w:tab/>
        <w:t>Instituto Electoral del Estado de Michoacán.</w:t>
      </w:r>
    </w:p>
    <w:p w14:paraId="5EDBC583" w14:textId="77777777" w:rsidR="00311675" w:rsidRPr="0083045C" w:rsidRDefault="00311675" w:rsidP="00311675">
      <w:pPr>
        <w:rPr>
          <w:sz w:val="22"/>
          <w:szCs w:val="22"/>
        </w:rPr>
      </w:pPr>
    </w:p>
    <w:p w14:paraId="3035150C" w14:textId="77777777" w:rsidR="00311675" w:rsidRPr="0083045C" w:rsidRDefault="00311675" w:rsidP="00311675">
      <w:pPr>
        <w:rPr>
          <w:sz w:val="22"/>
          <w:szCs w:val="22"/>
        </w:rPr>
      </w:pPr>
      <w:r w:rsidRPr="0083045C">
        <w:rPr>
          <w:sz w:val="22"/>
          <w:szCs w:val="22"/>
        </w:rPr>
        <w:t>•</w:t>
      </w:r>
      <w:r w:rsidRPr="0083045C">
        <w:rPr>
          <w:sz w:val="22"/>
          <w:szCs w:val="22"/>
        </w:rPr>
        <w:tab/>
        <w:t>Tribunal Electoral del Estado de Michoacán.</w:t>
      </w:r>
    </w:p>
    <w:p w14:paraId="7F753AC2" w14:textId="77777777" w:rsidR="00311675" w:rsidRPr="0083045C" w:rsidRDefault="00311675" w:rsidP="00311675">
      <w:pPr>
        <w:rPr>
          <w:sz w:val="22"/>
          <w:szCs w:val="22"/>
        </w:rPr>
      </w:pPr>
    </w:p>
    <w:p w14:paraId="4F5C16AB" w14:textId="77777777" w:rsidR="00311675" w:rsidRPr="0083045C" w:rsidRDefault="00311675" w:rsidP="00311675">
      <w:pPr>
        <w:rPr>
          <w:sz w:val="22"/>
          <w:szCs w:val="22"/>
        </w:rPr>
      </w:pPr>
      <w:r w:rsidRPr="0083045C">
        <w:rPr>
          <w:sz w:val="22"/>
          <w:szCs w:val="22"/>
        </w:rPr>
        <w:t>•</w:t>
      </w:r>
      <w:r w:rsidRPr="0083045C">
        <w:rPr>
          <w:sz w:val="22"/>
          <w:szCs w:val="22"/>
        </w:rPr>
        <w:tab/>
        <w:t>Tribunal de Justicia Administrativa de Michoacán de Ocampo.</w:t>
      </w:r>
    </w:p>
    <w:p w14:paraId="1ADE7112" w14:textId="77777777" w:rsidR="00311675" w:rsidRPr="0083045C" w:rsidRDefault="00311675" w:rsidP="00311675">
      <w:pPr>
        <w:rPr>
          <w:sz w:val="22"/>
          <w:szCs w:val="22"/>
        </w:rPr>
      </w:pPr>
    </w:p>
    <w:p w14:paraId="62A475EF" w14:textId="77777777" w:rsidR="00311675" w:rsidRPr="0083045C" w:rsidRDefault="00311675" w:rsidP="00311675">
      <w:pPr>
        <w:rPr>
          <w:sz w:val="22"/>
          <w:szCs w:val="22"/>
        </w:rPr>
      </w:pPr>
      <w:r w:rsidRPr="0083045C">
        <w:rPr>
          <w:sz w:val="22"/>
          <w:szCs w:val="22"/>
        </w:rPr>
        <w:t>•</w:t>
      </w:r>
      <w:r w:rsidRPr="0083045C">
        <w:rPr>
          <w:sz w:val="22"/>
          <w:szCs w:val="22"/>
        </w:rPr>
        <w:tab/>
        <w:t>Comisión Estatal de los Derechos Humanos, Michoacán.</w:t>
      </w:r>
    </w:p>
    <w:p w14:paraId="5A4D4D14" w14:textId="77777777" w:rsidR="00311675" w:rsidRPr="0083045C" w:rsidRDefault="00311675" w:rsidP="00311675">
      <w:pPr>
        <w:rPr>
          <w:sz w:val="22"/>
          <w:szCs w:val="22"/>
        </w:rPr>
      </w:pPr>
    </w:p>
    <w:p w14:paraId="6292F0C0" w14:textId="77777777" w:rsidR="00311675" w:rsidRPr="0083045C" w:rsidRDefault="00311675" w:rsidP="00311675">
      <w:pPr>
        <w:rPr>
          <w:sz w:val="22"/>
          <w:szCs w:val="22"/>
        </w:rPr>
      </w:pPr>
      <w:r w:rsidRPr="0083045C">
        <w:rPr>
          <w:sz w:val="22"/>
          <w:szCs w:val="22"/>
        </w:rPr>
        <w:t>•</w:t>
      </w:r>
      <w:r w:rsidRPr="0083045C">
        <w:rPr>
          <w:sz w:val="22"/>
          <w:szCs w:val="22"/>
        </w:rPr>
        <w:tab/>
        <w:t>Instituto Michoacano de Transparencia, Acceso a la Información y Protección de Datos Personales.</w:t>
      </w:r>
    </w:p>
    <w:p w14:paraId="3A2AD296" w14:textId="77777777" w:rsidR="00311675" w:rsidRPr="0083045C" w:rsidRDefault="00311675" w:rsidP="00311675">
      <w:pPr>
        <w:rPr>
          <w:sz w:val="22"/>
          <w:szCs w:val="22"/>
        </w:rPr>
      </w:pPr>
    </w:p>
    <w:p w14:paraId="17DDA05B" w14:textId="77777777" w:rsidR="00311675" w:rsidRDefault="00311675" w:rsidP="00311675">
      <w:pPr>
        <w:rPr>
          <w:sz w:val="22"/>
          <w:szCs w:val="22"/>
        </w:rPr>
      </w:pPr>
      <w:r w:rsidRPr="0083045C">
        <w:rPr>
          <w:sz w:val="22"/>
          <w:szCs w:val="22"/>
        </w:rPr>
        <w:t>•</w:t>
      </w:r>
      <w:r w:rsidRPr="0083045C">
        <w:rPr>
          <w:sz w:val="22"/>
          <w:szCs w:val="22"/>
        </w:rPr>
        <w:tab/>
        <w:t>Fiscalía General del Estado de Michoacán.</w:t>
      </w:r>
    </w:p>
    <w:p w14:paraId="687ACB75" w14:textId="77777777" w:rsidR="00C02633" w:rsidRDefault="00C02633" w:rsidP="00311675">
      <w:pPr>
        <w:rPr>
          <w:sz w:val="22"/>
          <w:szCs w:val="22"/>
        </w:rPr>
      </w:pPr>
    </w:p>
    <w:p w14:paraId="17490FBB" w14:textId="018203E2" w:rsidR="00C02633" w:rsidRPr="0083045C" w:rsidRDefault="00C02633" w:rsidP="00311675">
      <w:pPr>
        <w:rPr>
          <w:sz w:val="22"/>
          <w:szCs w:val="22"/>
        </w:rPr>
      </w:pPr>
      <w:r w:rsidRPr="0083045C">
        <w:rPr>
          <w:sz w:val="22"/>
          <w:szCs w:val="22"/>
        </w:rPr>
        <w:t>•</w:t>
      </w:r>
      <w:r>
        <w:rPr>
          <w:sz w:val="22"/>
          <w:szCs w:val="22"/>
        </w:rPr>
        <w:t xml:space="preserve">    Consejo Económico y Social del Estado de Michoacán. </w:t>
      </w:r>
    </w:p>
    <w:p w14:paraId="464F30BC" w14:textId="77777777" w:rsidR="00311675" w:rsidRDefault="00311675" w:rsidP="00311675">
      <w:pPr>
        <w:rPr>
          <w:sz w:val="22"/>
          <w:szCs w:val="22"/>
        </w:rPr>
      </w:pPr>
    </w:p>
    <w:p w14:paraId="3F5CDC43" w14:textId="77777777" w:rsidR="00C02633" w:rsidRPr="0083045C" w:rsidRDefault="00C02633" w:rsidP="00311675">
      <w:pPr>
        <w:rPr>
          <w:sz w:val="22"/>
          <w:szCs w:val="22"/>
        </w:rPr>
      </w:pPr>
    </w:p>
    <w:p w14:paraId="670D7C0E" w14:textId="089256E5" w:rsidR="00311675" w:rsidRPr="0083045C" w:rsidRDefault="00311675" w:rsidP="00311675">
      <w:pPr>
        <w:rPr>
          <w:sz w:val="22"/>
          <w:szCs w:val="22"/>
        </w:rPr>
      </w:pPr>
      <w:r w:rsidRPr="0083045C">
        <w:rPr>
          <w:sz w:val="22"/>
          <w:szCs w:val="22"/>
        </w:rPr>
        <w:lastRenderedPageBreak/>
        <w:t xml:space="preserve">TOMO VII </w:t>
      </w:r>
      <w:r w:rsidR="006613DF" w:rsidRPr="0083045C">
        <w:rPr>
          <w:sz w:val="22"/>
          <w:szCs w:val="22"/>
        </w:rPr>
        <w:t>Entidades Paraestatales</w:t>
      </w:r>
    </w:p>
    <w:p w14:paraId="0B5D042C" w14:textId="77777777" w:rsidR="00311675" w:rsidRPr="0083045C" w:rsidRDefault="00311675" w:rsidP="00311675">
      <w:pPr>
        <w:rPr>
          <w:sz w:val="22"/>
          <w:szCs w:val="22"/>
        </w:rPr>
      </w:pPr>
    </w:p>
    <w:p w14:paraId="0A75D2B8"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de los Organismos Públicos Descentralizados.</w:t>
      </w:r>
    </w:p>
    <w:p w14:paraId="6521A24D" w14:textId="77777777" w:rsidR="00311675" w:rsidRPr="0083045C" w:rsidRDefault="00311675" w:rsidP="00311675">
      <w:pPr>
        <w:rPr>
          <w:sz w:val="22"/>
          <w:szCs w:val="22"/>
        </w:rPr>
      </w:pPr>
    </w:p>
    <w:p w14:paraId="565C4C6C" w14:textId="4E1E1915" w:rsidR="00311675" w:rsidRPr="0083045C" w:rsidRDefault="00311675" w:rsidP="00311675">
      <w:pPr>
        <w:rPr>
          <w:sz w:val="22"/>
          <w:szCs w:val="22"/>
        </w:rPr>
      </w:pPr>
      <w:r w:rsidRPr="0083045C">
        <w:rPr>
          <w:sz w:val="22"/>
          <w:szCs w:val="22"/>
        </w:rPr>
        <w:t>Es importante destacar el cumplimiento de todos los Poderes, Órganos Autónomos y Organismos Públicos Descentralizados para la integración de esta Cuenta Pública Estatal 202</w:t>
      </w:r>
      <w:r w:rsidR="00C02633">
        <w:rPr>
          <w:sz w:val="22"/>
          <w:szCs w:val="22"/>
        </w:rPr>
        <w:t>5</w:t>
      </w:r>
      <w:r w:rsidRPr="0083045C">
        <w:rPr>
          <w:sz w:val="22"/>
          <w:szCs w:val="22"/>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2DECAD04" w14:textId="77777777" w:rsidR="00311675" w:rsidRPr="0083045C" w:rsidRDefault="00311675" w:rsidP="00311675">
      <w:pPr>
        <w:rPr>
          <w:sz w:val="22"/>
          <w:szCs w:val="22"/>
        </w:rPr>
      </w:pPr>
    </w:p>
    <w:p w14:paraId="42268FF5" w14:textId="6BB64DDD" w:rsidR="0028137C" w:rsidRPr="0083045C" w:rsidRDefault="00311675" w:rsidP="00311675">
      <w:pPr>
        <w:rPr>
          <w:sz w:val="22"/>
          <w:szCs w:val="22"/>
        </w:rPr>
      </w:pPr>
      <w:r w:rsidRPr="0083045C">
        <w:rPr>
          <w:sz w:val="22"/>
          <w:szCs w:val="22"/>
        </w:rPr>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7164BBC2" w14:textId="77777777" w:rsidR="0028137C" w:rsidRDefault="0028137C" w:rsidP="0028137C"/>
    <w:p w14:paraId="209520BD" w14:textId="77777777" w:rsidR="0028137C" w:rsidRDefault="0028137C" w:rsidP="0028137C"/>
    <w:p w14:paraId="35B87525" w14:textId="77777777" w:rsidR="006613DF" w:rsidRDefault="006613DF" w:rsidP="0028137C"/>
    <w:p w14:paraId="0072DC3F" w14:textId="77777777" w:rsidR="006613DF" w:rsidRDefault="006613DF" w:rsidP="0028137C"/>
    <w:p w14:paraId="5177FB28" w14:textId="77777777" w:rsidR="006613DF" w:rsidRDefault="006613DF" w:rsidP="0028137C"/>
    <w:p w14:paraId="48CAFF23" w14:textId="185BB93E" w:rsidR="0028137C" w:rsidRPr="0028137C" w:rsidRDefault="0028137C" w:rsidP="0028137C">
      <w:pPr>
        <w:jc w:val="center"/>
      </w:pPr>
      <w:r>
        <w:rPr>
          <w:noProof/>
          <w:lang w:val="es-MX" w:eastAsia="es-MX"/>
        </w:rPr>
        <w:lastRenderedPageBreak/>
        <w:drawing>
          <wp:anchor distT="0" distB="0" distL="114300" distR="114300" simplePos="0" relativeHeight="252122624" behindDoc="0" locked="0" layoutInCell="1" allowOverlap="1" wp14:anchorId="3089F616" wp14:editId="534DB885">
            <wp:simplePos x="933450" y="1581150"/>
            <wp:positionH relativeFrom="margin">
              <wp:align>center</wp:align>
            </wp:positionH>
            <wp:positionV relativeFrom="margin">
              <wp:align>center</wp:align>
            </wp:positionV>
            <wp:extent cx="5740842" cy="574084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842" cy="5740842"/>
                    </a:xfrm>
                    <a:prstGeom prst="rect">
                      <a:avLst/>
                    </a:prstGeom>
                    <a:noFill/>
                    <a:ln>
                      <a:noFill/>
                    </a:ln>
                  </pic:spPr>
                </pic:pic>
              </a:graphicData>
            </a:graphic>
          </wp:anchor>
        </w:drawing>
      </w:r>
    </w:p>
    <w:p w14:paraId="582C3863" w14:textId="77777777" w:rsidR="002C4B5F" w:rsidRDefault="002C4B5F" w:rsidP="000A0A97">
      <w:pPr>
        <w:rPr>
          <w:rFonts w:ascii="GalanoGrotesque-Bold" w:eastAsiaTheme="majorEastAsia" w:hAnsi="GalanoGrotesque-Bold" w:cstheme="majorBidi"/>
          <w:color w:val="000000" w:themeColor="text1"/>
        </w:rPr>
      </w:pPr>
    </w:p>
    <w:p w14:paraId="6EFE366B" w14:textId="77777777" w:rsidR="00D613AA" w:rsidRDefault="00D613AA" w:rsidP="000A0A97">
      <w:pPr>
        <w:rPr>
          <w:sz w:val="22"/>
          <w:szCs w:val="22"/>
        </w:rPr>
      </w:pPr>
    </w:p>
    <w:p w14:paraId="297AA534" w14:textId="77777777" w:rsidR="00D613AA" w:rsidRDefault="00D613AA" w:rsidP="000A0A97">
      <w:pPr>
        <w:rPr>
          <w:sz w:val="22"/>
          <w:szCs w:val="22"/>
        </w:rPr>
      </w:pPr>
    </w:p>
    <w:p w14:paraId="73B5228D" w14:textId="77777777" w:rsidR="00C02633" w:rsidRDefault="00C02633" w:rsidP="000A0A97">
      <w:pPr>
        <w:rPr>
          <w:sz w:val="22"/>
          <w:szCs w:val="22"/>
        </w:rPr>
      </w:pPr>
    </w:p>
    <w:p w14:paraId="06FB78F5" w14:textId="77777777" w:rsidR="00C02633" w:rsidRDefault="00C02633" w:rsidP="000A0A97">
      <w:pPr>
        <w:rPr>
          <w:sz w:val="22"/>
          <w:szCs w:val="22"/>
        </w:rPr>
      </w:pPr>
    </w:p>
    <w:p w14:paraId="785BFAAF" w14:textId="77777777" w:rsidR="00C02633" w:rsidRDefault="00C02633" w:rsidP="000A0A97">
      <w:pPr>
        <w:rPr>
          <w:sz w:val="22"/>
          <w:szCs w:val="22"/>
        </w:rPr>
      </w:pPr>
    </w:p>
    <w:p w14:paraId="7BAD07CD" w14:textId="77777777" w:rsidR="00C02633" w:rsidRDefault="00C02633" w:rsidP="000A0A97">
      <w:pPr>
        <w:rPr>
          <w:sz w:val="22"/>
          <w:szCs w:val="22"/>
        </w:rPr>
      </w:pPr>
    </w:p>
    <w:p w14:paraId="381149F8" w14:textId="77777777" w:rsidR="00C02633" w:rsidRDefault="00C02633" w:rsidP="000A0A97">
      <w:pPr>
        <w:rPr>
          <w:sz w:val="22"/>
          <w:szCs w:val="22"/>
        </w:rPr>
      </w:pPr>
    </w:p>
    <w:p w14:paraId="1844A113" w14:textId="7291C0FA" w:rsidR="004F0409" w:rsidRPr="00915082" w:rsidRDefault="004F0409" w:rsidP="000A0A97">
      <w:pPr>
        <w:rPr>
          <w:sz w:val="22"/>
          <w:szCs w:val="22"/>
        </w:rPr>
      </w:pPr>
      <w:r w:rsidRPr="004C0297">
        <w:rPr>
          <w:sz w:val="22"/>
          <w:szCs w:val="22"/>
        </w:rPr>
        <w:lastRenderedPageBreak/>
        <w:t>Panorama Económico</w:t>
      </w:r>
      <w:r w:rsidR="0028137C" w:rsidRPr="004C0297">
        <w:rPr>
          <w:sz w:val="22"/>
          <w:szCs w:val="22"/>
        </w:rPr>
        <w:t xml:space="preserve"> Global</w:t>
      </w:r>
      <w:r w:rsidRPr="004C0297">
        <w:rPr>
          <w:sz w:val="22"/>
          <w:szCs w:val="22"/>
        </w:rPr>
        <w:t>:</w:t>
      </w:r>
    </w:p>
    <w:p w14:paraId="28F19851" w14:textId="77777777" w:rsidR="00037888" w:rsidRPr="00915082" w:rsidRDefault="00037888" w:rsidP="000A0A97">
      <w:pPr>
        <w:rPr>
          <w:sz w:val="22"/>
          <w:szCs w:val="22"/>
        </w:rPr>
      </w:pPr>
    </w:p>
    <w:p w14:paraId="6D032FB7" w14:textId="4AF6CBF2" w:rsidR="002A1451" w:rsidRDefault="00B063D6" w:rsidP="002A1451">
      <w:pPr>
        <w:rPr>
          <w:sz w:val="22"/>
          <w:szCs w:val="22"/>
          <w:lang w:val="es-MX"/>
        </w:rPr>
      </w:pPr>
      <w:r>
        <w:rPr>
          <w:sz w:val="22"/>
          <w:szCs w:val="22"/>
          <w:lang w:val="es-MX"/>
        </w:rPr>
        <w:t>El</w:t>
      </w:r>
      <w:r w:rsidR="002A1451" w:rsidRPr="002A1451">
        <w:rPr>
          <w:sz w:val="22"/>
          <w:szCs w:val="22"/>
          <w:lang w:val="es-MX"/>
        </w:rPr>
        <w:t xml:space="preserve"> Banco de México señala que la economía global continúa creciendo a un ritmo moderado, aunque en un entorno de elevada incertidumbre provocado por tensiones geopolíticas, políticas monetarias restrictivas y la desaceleración de economías avanzadas, lo que ha generado condiciones financieras más estrictas y una menor dinámica de inversión. En este contexto, México también ha experimentado estos efectos, registrando una desaceleración durante 2025, a pesar de una ligera recuperación hacia el cierre del año, explicada principalmente por la debilidad de la demanda interna, en especial de la inversión, así como por un entorno internacional menos favorable.</w:t>
      </w:r>
    </w:p>
    <w:p w14:paraId="2ECAFFF1" w14:textId="77777777" w:rsidR="002A1451" w:rsidRPr="002A1451" w:rsidRDefault="002A1451" w:rsidP="002A1451">
      <w:pPr>
        <w:rPr>
          <w:sz w:val="22"/>
          <w:szCs w:val="22"/>
          <w:lang w:val="es-MX"/>
        </w:rPr>
      </w:pPr>
    </w:p>
    <w:p w14:paraId="2E4A6130" w14:textId="77777777" w:rsidR="002A1451" w:rsidRDefault="002A1451" w:rsidP="002A1451">
      <w:pPr>
        <w:rPr>
          <w:sz w:val="22"/>
          <w:szCs w:val="22"/>
          <w:lang w:val="es-MX"/>
        </w:rPr>
      </w:pPr>
      <w:r w:rsidRPr="002A1451">
        <w:rPr>
          <w:sz w:val="22"/>
          <w:szCs w:val="22"/>
          <w:lang w:val="es-MX"/>
        </w:rPr>
        <w:t>En materia inflacionaria, el banco central destaca que la inflación ha mostrado una trayectoria descendente, aunque aún se mantiene por encima del objetivo del 3%, con una persistencia importante en su componente subyacente, particularmente en el sector servicios. Debido a ello, el proceso de convergencia hacia la meta se ha extendido hasta 2027, lo que ha llevado a mantener una política monetaria restrictiva, en la cual cualquier ajuste en la tasa de interés dependerá de la evolución de la inflación y de los riesgos económicos, contemplándose únicamente reducciones graduales si se consolida una tendencia clara hacia la estabilidad de precios. En este escenario, se prevé que la economía mexicana registre un crecimiento moderado en 2026, sujeto a riesgos como la volatilidad internacional, las condiciones financieras restrictivas y la debilidad de algunos componentes de la demanda interna, aunque con oportunidades derivadas de la relocalización de cadenas productivas.</w:t>
      </w:r>
    </w:p>
    <w:p w14:paraId="3CC99EF6" w14:textId="77777777" w:rsidR="002A1451" w:rsidRPr="002A1451" w:rsidRDefault="002A1451" w:rsidP="002A1451">
      <w:pPr>
        <w:rPr>
          <w:sz w:val="22"/>
          <w:szCs w:val="22"/>
          <w:lang w:val="es-MX"/>
        </w:rPr>
      </w:pPr>
    </w:p>
    <w:p w14:paraId="767F42E1" w14:textId="77777777" w:rsidR="002A1451" w:rsidRDefault="002A1451" w:rsidP="002A1451">
      <w:pPr>
        <w:rPr>
          <w:sz w:val="22"/>
          <w:szCs w:val="22"/>
          <w:lang w:val="es-MX"/>
        </w:rPr>
      </w:pPr>
      <w:r w:rsidRPr="002A1451">
        <w:rPr>
          <w:sz w:val="22"/>
          <w:szCs w:val="22"/>
          <w:lang w:val="es-MX"/>
        </w:rPr>
        <w:t xml:space="preserve">A nivel estatal, el Indicador Trimestral de la Actividad Económica Estatal (ITAEE) muestra que Michoacán presentó un crecimiento económico anual durante el tercer trimestre de 2025, en un contexto nacional de expansión moderada. Este resultado fue impulsado principalmente por el dinamismo de las actividades secundarias, especialmente del sector industrial, que superó el promedio nacional y se consolidó como el principal motor del crecimiento estatal. Por su parte, las actividades primarias registraron un comportamiento </w:t>
      </w:r>
      <w:r w:rsidRPr="002A1451">
        <w:rPr>
          <w:sz w:val="22"/>
          <w:szCs w:val="22"/>
          <w:lang w:val="es-MX"/>
        </w:rPr>
        <w:lastRenderedPageBreak/>
        <w:t>mixto debido a factores como condiciones climáticas y ciclos agrícolas, mientras que las actividades terciarias, relacionadas con comercio y servicios, mostraron un crecimiento moderado, manteniendo su relevancia dentro de la estructura económica. En términos generales, el estado se posicionó en un nivel intermedio a nivel nacional, destacando por su fortaleza industrial y una base productiva diversificada que no depende de actividades petroleras, aunque persiste el reto de fortalecer los sectores primario y terciario para lograr un crecimiento más equilibrado.</w:t>
      </w:r>
    </w:p>
    <w:p w14:paraId="1DE4181D" w14:textId="77777777" w:rsidR="002A1451" w:rsidRPr="002A1451" w:rsidRDefault="002A1451" w:rsidP="002A1451">
      <w:pPr>
        <w:rPr>
          <w:sz w:val="22"/>
          <w:szCs w:val="22"/>
          <w:lang w:val="es-MX"/>
        </w:rPr>
      </w:pPr>
    </w:p>
    <w:p w14:paraId="0B35A6C8" w14:textId="77777777" w:rsidR="002A1451" w:rsidRDefault="002A1451" w:rsidP="002A1451">
      <w:pPr>
        <w:rPr>
          <w:sz w:val="22"/>
          <w:szCs w:val="22"/>
          <w:lang w:val="es-MX"/>
        </w:rPr>
      </w:pPr>
      <w:r w:rsidRPr="002A1451">
        <w:rPr>
          <w:sz w:val="22"/>
          <w:szCs w:val="22"/>
          <w:lang w:val="es-MX"/>
        </w:rPr>
        <w:t>En el ámbito laboral, la Encuesta Nacional de Ocupación y Empleo (ENOE) evidencia que Michoacán cuenta con una población económicamente activa cercana a 2.3 millones de personas, con una alta tasa de ocupación y un nivel de desocupación relativamente bajo. No obstante, persisten brechas importantes, como una menor participación económica de las mujeres en comparación con los hombres, aunque se observa una tendencia gradual al incremento de su inclusión en el mercado laboral. Asimismo, la estructura ocupacional muestra una alta proporción de trabajadores subordinados, pero también una presencia significativa de trabajadores por cuenta propia.</w:t>
      </w:r>
    </w:p>
    <w:p w14:paraId="527DD4B8" w14:textId="77777777" w:rsidR="002A1451" w:rsidRPr="002A1451" w:rsidRDefault="002A1451" w:rsidP="002A1451">
      <w:pPr>
        <w:rPr>
          <w:sz w:val="22"/>
          <w:szCs w:val="22"/>
          <w:lang w:val="es-MX"/>
        </w:rPr>
      </w:pPr>
    </w:p>
    <w:p w14:paraId="244BEFA5" w14:textId="77777777" w:rsidR="002A1451" w:rsidRPr="002A1451" w:rsidRDefault="002A1451" w:rsidP="002A1451">
      <w:pPr>
        <w:rPr>
          <w:sz w:val="22"/>
          <w:szCs w:val="22"/>
          <w:lang w:val="es-MX"/>
        </w:rPr>
      </w:pPr>
      <w:r w:rsidRPr="002A1451">
        <w:rPr>
          <w:sz w:val="22"/>
          <w:szCs w:val="22"/>
          <w:lang w:val="es-MX"/>
        </w:rPr>
        <w:t>Un aspecto crítico es la elevada informalidad laboral, que afecta a más de dos terceras partes de la población ocupada, así como la subocupación y el incremento en las condiciones críticas de empleo, lo que refleja limitaciones en la calidad del trabajo, los ingresos y el acceso a la seguridad social. Además, existe una proporción relevante de población no económicamente activa que podría incorporarse al mercado laboral bajo condiciones adecuadas. En conjunto, el panorama muestra que, si bien existe estabilidad en los niveles de empleo, el principal desafío radica en mejorar su calidad, formalidad e inclusión, mediante políticas públicas que impulsen un desarrollo económico más equilibrado y sostenible en el mediano plazo.</w:t>
      </w:r>
    </w:p>
    <w:p w14:paraId="640AB64F" w14:textId="3F4A90BA" w:rsidR="00151E25" w:rsidRDefault="00151E25" w:rsidP="00903F40">
      <w:pPr>
        <w:rPr>
          <w:rFonts w:ascii="GalanoGrotesque-Bold" w:eastAsiaTheme="majorEastAsia" w:hAnsi="GalanoGrotesque-Bold" w:cstheme="majorBidi"/>
          <w:color w:val="000000" w:themeColor="text1"/>
        </w:rPr>
      </w:pPr>
    </w:p>
    <w:p w14:paraId="66468D05" w14:textId="77777777" w:rsidR="00075D84" w:rsidRDefault="00075D84" w:rsidP="00903F40">
      <w:pPr>
        <w:rPr>
          <w:rFonts w:ascii="GalanoGrotesque-Bold" w:eastAsiaTheme="majorEastAsia" w:hAnsi="GalanoGrotesque-Bold" w:cstheme="majorBidi"/>
          <w:color w:val="000000" w:themeColor="text1"/>
        </w:rPr>
      </w:pPr>
    </w:p>
    <w:p w14:paraId="4B0AC229" w14:textId="77777777" w:rsidR="005440BE" w:rsidRDefault="005440BE" w:rsidP="005440BE">
      <w:pPr>
        <w:contextualSpacing/>
        <w:rPr>
          <w:color w:val="FF0000"/>
        </w:rPr>
      </w:pPr>
    </w:p>
    <w:p w14:paraId="21B460B7" w14:textId="77777777" w:rsidR="0028137C" w:rsidRDefault="0028137C" w:rsidP="005440BE">
      <w:pPr>
        <w:contextualSpacing/>
        <w:rPr>
          <w:color w:val="FF0000"/>
        </w:rPr>
      </w:pPr>
    </w:p>
    <w:p w14:paraId="2F84E42D" w14:textId="77777777" w:rsidR="0028137C" w:rsidRDefault="0028137C" w:rsidP="005440BE">
      <w:pPr>
        <w:contextualSpacing/>
        <w:rPr>
          <w:color w:val="FF0000"/>
        </w:rPr>
      </w:pPr>
    </w:p>
    <w:p w14:paraId="6008CF25" w14:textId="77777777" w:rsidR="0028137C" w:rsidRDefault="0028137C" w:rsidP="005440BE">
      <w:pPr>
        <w:contextualSpacing/>
        <w:rPr>
          <w:color w:val="FF0000"/>
        </w:rPr>
      </w:pPr>
    </w:p>
    <w:p w14:paraId="08E1CB98" w14:textId="77777777" w:rsidR="0028137C" w:rsidRDefault="0028137C" w:rsidP="005440BE">
      <w:pPr>
        <w:contextualSpacing/>
        <w:rPr>
          <w:color w:val="FF0000"/>
        </w:rPr>
      </w:pPr>
    </w:p>
    <w:p w14:paraId="5A03CDB8" w14:textId="77777777" w:rsidR="0028137C" w:rsidRDefault="0028137C" w:rsidP="005440BE">
      <w:pPr>
        <w:contextualSpacing/>
        <w:rPr>
          <w:color w:val="FF0000"/>
        </w:rPr>
      </w:pPr>
    </w:p>
    <w:p w14:paraId="66A382B6" w14:textId="77777777" w:rsidR="0028137C" w:rsidRDefault="0028137C" w:rsidP="005440BE">
      <w:pPr>
        <w:contextualSpacing/>
        <w:rPr>
          <w:color w:val="FF0000"/>
        </w:rPr>
      </w:pPr>
    </w:p>
    <w:p w14:paraId="3ACAC5E1" w14:textId="6AFA0C8D" w:rsidR="0028137C" w:rsidRDefault="00C14909" w:rsidP="005440BE">
      <w:pPr>
        <w:contextualSpacing/>
        <w:rPr>
          <w:color w:val="FF0000"/>
        </w:rPr>
      </w:pPr>
      <w:r>
        <w:rPr>
          <w:noProof/>
          <w:lang w:val="es-MX" w:eastAsia="es-MX"/>
        </w:rPr>
        <w:drawing>
          <wp:anchor distT="0" distB="0" distL="114300" distR="114300" simplePos="0" relativeHeight="252133888" behindDoc="0" locked="0" layoutInCell="1" allowOverlap="1" wp14:anchorId="649E10AE" wp14:editId="620EE499">
            <wp:simplePos x="630621" y="993228"/>
            <wp:positionH relativeFrom="margin">
              <wp:align>center</wp:align>
            </wp:positionH>
            <wp:positionV relativeFrom="margin">
              <wp:align>center</wp:align>
            </wp:positionV>
            <wp:extent cx="5742000" cy="5742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a:ln>
                      <a:noFill/>
                    </a:ln>
                  </pic:spPr>
                </pic:pic>
              </a:graphicData>
            </a:graphic>
          </wp:anchor>
        </w:drawing>
      </w:r>
    </w:p>
    <w:p w14:paraId="0647FF66" w14:textId="77777777" w:rsidR="0028137C" w:rsidRDefault="0028137C" w:rsidP="005440BE">
      <w:pPr>
        <w:contextualSpacing/>
        <w:rPr>
          <w:color w:val="FF0000"/>
        </w:rPr>
      </w:pPr>
    </w:p>
    <w:p w14:paraId="7294F50A" w14:textId="77777777" w:rsidR="0028137C" w:rsidRDefault="0028137C" w:rsidP="005440BE">
      <w:pPr>
        <w:contextualSpacing/>
        <w:rPr>
          <w:color w:val="FF0000"/>
        </w:rPr>
      </w:pPr>
    </w:p>
    <w:p w14:paraId="51DE1AF4" w14:textId="77777777" w:rsidR="0028137C" w:rsidRDefault="0028137C" w:rsidP="005440BE">
      <w:pPr>
        <w:contextualSpacing/>
        <w:rPr>
          <w:color w:val="FF0000"/>
        </w:rPr>
      </w:pPr>
    </w:p>
    <w:p w14:paraId="1111EAD6" w14:textId="7F7E36D1" w:rsidR="0028137C" w:rsidRDefault="0028137C" w:rsidP="005440BE">
      <w:pPr>
        <w:contextualSpacing/>
        <w:rPr>
          <w:color w:val="FF0000"/>
        </w:rPr>
      </w:pPr>
    </w:p>
    <w:p w14:paraId="01F6416E" w14:textId="6D5ED44E" w:rsidR="0028137C" w:rsidRDefault="00B063D6" w:rsidP="005440BE">
      <w:pPr>
        <w:contextualSpacing/>
        <w:rPr>
          <w:color w:val="FF0000"/>
        </w:rPr>
      </w:pPr>
      <w:r w:rsidRPr="00B063D6">
        <w:lastRenderedPageBreak/>
        <w:drawing>
          <wp:inline distT="0" distB="0" distL="0" distR="0" wp14:anchorId="38F84969" wp14:editId="20796D32">
            <wp:extent cx="6351270" cy="4308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4308685"/>
                    </a:xfrm>
                    <a:prstGeom prst="rect">
                      <a:avLst/>
                    </a:prstGeom>
                    <a:noFill/>
                    <a:ln>
                      <a:noFill/>
                    </a:ln>
                  </pic:spPr>
                </pic:pic>
              </a:graphicData>
            </a:graphic>
          </wp:inline>
        </w:drawing>
      </w:r>
    </w:p>
    <w:p w14:paraId="210D761B" w14:textId="77777777" w:rsidR="0028137C" w:rsidRDefault="0028137C" w:rsidP="005440BE">
      <w:pPr>
        <w:contextualSpacing/>
        <w:rPr>
          <w:color w:val="FF0000"/>
        </w:rPr>
      </w:pPr>
    </w:p>
    <w:p w14:paraId="5C5BD27D" w14:textId="77777777" w:rsidR="0028137C" w:rsidRDefault="0028137C" w:rsidP="005440BE">
      <w:pPr>
        <w:contextualSpacing/>
        <w:rPr>
          <w:color w:val="FF0000"/>
        </w:rPr>
      </w:pPr>
    </w:p>
    <w:p w14:paraId="4C9CFF7F" w14:textId="77777777" w:rsidR="003E4FDF" w:rsidRDefault="003E4FDF" w:rsidP="005440BE">
      <w:pPr>
        <w:contextualSpacing/>
        <w:rPr>
          <w:color w:val="FF0000"/>
        </w:rPr>
      </w:pPr>
    </w:p>
    <w:p w14:paraId="3D1FAA89" w14:textId="77777777" w:rsidR="003E4FDF" w:rsidRDefault="003E4FDF" w:rsidP="005440BE">
      <w:pPr>
        <w:contextualSpacing/>
        <w:rPr>
          <w:color w:val="FF0000"/>
        </w:rPr>
      </w:pPr>
    </w:p>
    <w:p w14:paraId="24842CC2" w14:textId="77777777" w:rsidR="0028137C" w:rsidRDefault="0028137C" w:rsidP="005440BE">
      <w:pPr>
        <w:contextualSpacing/>
        <w:rPr>
          <w:color w:val="FF0000"/>
        </w:rPr>
      </w:pPr>
    </w:p>
    <w:p w14:paraId="417118B8" w14:textId="77777777" w:rsidR="0028137C" w:rsidRDefault="0028137C" w:rsidP="005440BE">
      <w:pPr>
        <w:contextualSpacing/>
        <w:rPr>
          <w:color w:val="FF0000"/>
        </w:rPr>
      </w:pPr>
    </w:p>
    <w:p w14:paraId="49B1CCC2" w14:textId="77777777" w:rsidR="0028137C" w:rsidRDefault="0028137C" w:rsidP="005440BE">
      <w:pPr>
        <w:contextualSpacing/>
        <w:rPr>
          <w:color w:val="FF0000"/>
        </w:rPr>
      </w:pPr>
    </w:p>
    <w:p w14:paraId="09933A71" w14:textId="77777777" w:rsidR="0028137C" w:rsidRDefault="0028137C" w:rsidP="005440BE">
      <w:pPr>
        <w:contextualSpacing/>
        <w:rPr>
          <w:color w:val="FF0000"/>
        </w:rPr>
      </w:pPr>
    </w:p>
    <w:p w14:paraId="4CEDC6C7" w14:textId="77777777" w:rsidR="00897392" w:rsidRDefault="00897392" w:rsidP="005440BE">
      <w:pPr>
        <w:contextualSpacing/>
        <w:rPr>
          <w:color w:val="FF0000"/>
        </w:rPr>
      </w:pPr>
    </w:p>
    <w:p w14:paraId="31AE50BD" w14:textId="77777777" w:rsidR="00897392" w:rsidRDefault="00897392" w:rsidP="005440BE">
      <w:pPr>
        <w:contextualSpacing/>
        <w:rPr>
          <w:color w:val="FF0000"/>
        </w:rPr>
      </w:pPr>
    </w:p>
    <w:p w14:paraId="075C2786" w14:textId="77777777" w:rsidR="00897392" w:rsidRDefault="00897392" w:rsidP="005440BE">
      <w:pPr>
        <w:contextualSpacing/>
        <w:rPr>
          <w:color w:val="FF0000"/>
        </w:rPr>
      </w:pPr>
    </w:p>
    <w:p w14:paraId="7564F061" w14:textId="77777777" w:rsidR="00897392" w:rsidRDefault="00897392" w:rsidP="005440BE">
      <w:pPr>
        <w:contextualSpacing/>
        <w:rPr>
          <w:color w:val="FF0000"/>
        </w:rPr>
      </w:pPr>
    </w:p>
    <w:p w14:paraId="3C66BBFD" w14:textId="77777777" w:rsidR="00897392" w:rsidRDefault="00897392" w:rsidP="005440BE">
      <w:pPr>
        <w:contextualSpacing/>
        <w:rPr>
          <w:color w:val="FF0000"/>
        </w:rPr>
      </w:pPr>
    </w:p>
    <w:p w14:paraId="4C46B166" w14:textId="77777777" w:rsidR="00897392" w:rsidRDefault="00897392" w:rsidP="005440BE">
      <w:pPr>
        <w:contextualSpacing/>
        <w:rPr>
          <w:color w:val="FF0000"/>
        </w:rPr>
      </w:pPr>
    </w:p>
    <w:p w14:paraId="4F1083C0" w14:textId="77777777" w:rsidR="00897392" w:rsidRDefault="00897392" w:rsidP="005440BE">
      <w:pPr>
        <w:contextualSpacing/>
        <w:rPr>
          <w:color w:val="FF0000"/>
        </w:rPr>
      </w:pPr>
    </w:p>
    <w:p w14:paraId="3E937F94" w14:textId="7E36569B" w:rsidR="0028137C" w:rsidRPr="000223AE" w:rsidRDefault="0028137C" w:rsidP="0028137C">
      <w:pPr>
        <w:contextualSpacing/>
        <w:jc w:val="center"/>
        <w:rPr>
          <w:color w:val="FF0000"/>
        </w:rPr>
      </w:pPr>
      <w:r>
        <w:rPr>
          <w:noProof/>
          <w:lang w:val="es-MX" w:eastAsia="es-MX"/>
        </w:rPr>
        <w:lastRenderedPageBreak/>
        <w:drawing>
          <wp:anchor distT="0" distB="0" distL="114300" distR="114300" simplePos="0" relativeHeight="252134912" behindDoc="0" locked="0" layoutInCell="1" allowOverlap="1" wp14:anchorId="3F95AC5A" wp14:editId="6A126152">
            <wp:simplePos x="930166" y="1765738"/>
            <wp:positionH relativeFrom="margin">
              <wp:align>center</wp:align>
            </wp:positionH>
            <wp:positionV relativeFrom="margin">
              <wp:align>center</wp:align>
            </wp:positionV>
            <wp:extent cx="5742000" cy="57420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71AED" w14:textId="77777777" w:rsidR="005440BE" w:rsidRDefault="005440BE">
      <w:pPr>
        <w:rPr>
          <w:color w:val="864A04" w:themeColor="accent2" w:themeShade="80"/>
          <w:u w:val="single"/>
        </w:rPr>
      </w:pPr>
    </w:p>
    <w:p w14:paraId="5880A386" w14:textId="77777777" w:rsidR="0028137C" w:rsidRDefault="0028137C">
      <w:pPr>
        <w:rPr>
          <w:color w:val="864A04" w:themeColor="accent2" w:themeShade="80"/>
          <w:u w:val="single"/>
        </w:rPr>
      </w:pPr>
    </w:p>
    <w:p w14:paraId="6BF02EEB" w14:textId="77777777" w:rsidR="0028137C" w:rsidRDefault="0028137C">
      <w:pPr>
        <w:rPr>
          <w:color w:val="864A04" w:themeColor="accent2" w:themeShade="80"/>
          <w:u w:val="single"/>
        </w:rPr>
      </w:pPr>
    </w:p>
    <w:p w14:paraId="0327E285" w14:textId="77777777" w:rsidR="0028137C" w:rsidRDefault="0028137C">
      <w:pPr>
        <w:rPr>
          <w:color w:val="864A04" w:themeColor="accent2" w:themeShade="80"/>
          <w:u w:val="single"/>
        </w:rPr>
      </w:pPr>
    </w:p>
    <w:p w14:paraId="5A15D566" w14:textId="77777777" w:rsidR="0028137C" w:rsidRDefault="0028137C">
      <w:pPr>
        <w:rPr>
          <w:color w:val="864A04" w:themeColor="accent2" w:themeShade="80"/>
          <w:u w:val="single"/>
        </w:rPr>
      </w:pPr>
    </w:p>
    <w:p w14:paraId="6887BAF4" w14:textId="77777777" w:rsidR="0028137C" w:rsidRDefault="0028137C">
      <w:pPr>
        <w:rPr>
          <w:color w:val="864A04" w:themeColor="accent2" w:themeShade="80"/>
          <w:u w:val="single"/>
        </w:rPr>
      </w:pPr>
    </w:p>
    <w:p w14:paraId="02DE2018" w14:textId="77777777" w:rsidR="003E4FDF" w:rsidRDefault="003E4FDF" w:rsidP="00897392">
      <w:pPr>
        <w:spacing w:before="0" w:after="0"/>
        <w:rPr>
          <w:rFonts w:eastAsia="Calibri" w:cs="Times New Roman"/>
          <w:bCs/>
          <w:sz w:val="22"/>
          <w:szCs w:val="22"/>
        </w:rPr>
      </w:pPr>
    </w:p>
    <w:p w14:paraId="530C2F73" w14:textId="77777777" w:rsidR="00B063D6" w:rsidRDefault="00B063D6" w:rsidP="00B063D6">
      <w:pPr>
        <w:rPr>
          <w:sz w:val="22"/>
          <w:szCs w:val="22"/>
          <w:lang w:val="es-MX"/>
        </w:rPr>
      </w:pPr>
      <w:r w:rsidRPr="006E7E0B">
        <w:rPr>
          <w:sz w:val="22"/>
          <w:szCs w:val="22"/>
          <w:lang w:val="es-MX"/>
        </w:rPr>
        <w:lastRenderedPageBreak/>
        <w:t xml:space="preserve">Durante el ejercicio fiscal 2025, el Gobierno del Estado mantuvo una política de endeudamiento responsable, </w:t>
      </w:r>
      <w:proofErr w:type="gramStart"/>
      <w:r w:rsidRPr="006E7E0B">
        <w:rPr>
          <w:sz w:val="22"/>
          <w:szCs w:val="22"/>
          <w:lang w:val="es-MX"/>
        </w:rPr>
        <w:t>orientada</w:t>
      </w:r>
      <w:proofErr w:type="gramEnd"/>
      <w:r w:rsidRPr="006E7E0B">
        <w:rPr>
          <w:sz w:val="22"/>
          <w:szCs w:val="22"/>
          <w:lang w:val="es-MX"/>
        </w:rPr>
        <w:t xml:space="preserve"> a preservar la sostenibilidad de las finanzas públicas y asegurar el cumplimiento oportuno de todas las obligaciones crediticias, en apego a la Ley de Disciplina Financiera de las Entidades Federativas y los Municipios.</w:t>
      </w:r>
    </w:p>
    <w:p w14:paraId="158537E8" w14:textId="77777777" w:rsidR="00B063D6" w:rsidRPr="006E7E0B" w:rsidRDefault="00B063D6" w:rsidP="00B063D6">
      <w:pPr>
        <w:rPr>
          <w:sz w:val="22"/>
          <w:szCs w:val="22"/>
          <w:lang w:val="es-MX"/>
        </w:rPr>
      </w:pPr>
    </w:p>
    <w:p w14:paraId="32BE6CB0" w14:textId="77777777" w:rsidR="00B063D6" w:rsidRPr="006E7E0B" w:rsidRDefault="00B063D6" w:rsidP="00B063D6">
      <w:pPr>
        <w:rPr>
          <w:sz w:val="22"/>
          <w:szCs w:val="22"/>
          <w:lang w:val="es-MX"/>
        </w:rPr>
      </w:pPr>
      <w:r w:rsidRPr="006E7E0B">
        <w:rPr>
          <w:sz w:val="22"/>
          <w:szCs w:val="22"/>
          <w:lang w:val="es-MX"/>
        </w:rPr>
        <w:t>En términos de sostenibilidad, los principales indicadores se mantienen en niveles adecuados:</w:t>
      </w:r>
    </w:p>
    <w:p w14:paraId="4E5C78A0" w14:textId="77777777" w:rsidR="00B063D6" w:rsidRDefault="00B063D6" w:rsidP="00B063D6">
      <w:pPr>
        <w:numPr>
          <w:ilvl w:val="0"/>
          <w:numId w:val="19"/>
        </w:numPr>
        <w:rPr>
          <w:sz w:val="22"/>
          <w:szCs w:val="22"/>
          <w:lang w:val="es-MX"/>
        </w:rPr>
      </w:pPr>
      <w:r w:rsidRPr="006E7E0B">
        <w:rPr>
          <w:sz w:val="22"/>
          <w:szCs w:val="22"/>
          <w:lang w:val="es-MX"/>
        </w:rPr>
        <w:t>La razón deuda/PIB se ubicó en 3.55%, conservando una tendencia estructural estable.</w:t>
      </w:r>
    </w:p>
    <w:p w14:paraId="4C8C600D" w14:textId="77777777" w:rsidR="00B063D6" w:rsidRDefault="00B063D6" w:rsidP="00B063D6">
      <w:pPr>
        <w:rPr>
          <w:sz w:val="22"/>
          <w:szCs w:val="22"/>
          <w:lang w:val="es-MX"/>
        </w:rPr>
      </w:pPr>
      <w:r w:rsidRPr="006A25AD">
        <w:rPr>
          <w:noProof/>
          <w:lang w:val="es-MX" w:eastAsia="es-MX"/>
        </w:rPr>
        <w:drawing>
          <wp:inline distT="0" distB="0" distL="0" distR="0" wp14:anchorId="01EF5B77" wp14:editId="56949768">
            <wp:extent cx="6351270" cy="815975"/>
            <wp:effectExtent l="0" t="0" r="0" b="3175"/>
            <wp:docPr id="1275601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1270" cy="815975"/>
                    </a:xfrm>
                    <a:prstGeom prst="rect">
                      <a:avLst/>
                    </a:prstGeom>
                    <a:noFill/>
                    <a:ln>
                      <a:noFill/>
                    </a:ln>
                  </pic:spPr>
                </pic:pic>
              </a:graphicData>
            </a:graphic>
          </wp:inline>
        </w:drawing>
      </w:r>
    </w:p>
    <w:p w14:paraId="404DA8F7" w14:textId="77777777" w:rsidR="00B063D6" w:rsidRDefault="00B063D6" w:rsidP="00B063D6">
      <w:pPr>
        <w:rPr>
          <w:sz w:val="22"/>
          <w:szCs w:val="22"/>
          <w:lang w:val="es-MX"/>
        </w:rPr>
      </w:pPr>
      <w:r>
        <w:rPr>
          <w:noProof/>
          <w:lang w:val="es-MX" w:eastAsia="es-MX"/>
        </w:rPr>
        <w:drawing>
          <wp:inline distT="0" distB="0" distL="0" distR="0" wp14:anchorId="1D814CF3" wp14:editId="0471BA6E">
            <wp:extent cx="6351270" cy="2044700"/>
            <wp:effectExtent l="0" t="0" r="0" b="0"/>
            <wp:docPr id="1" name="Imagen 5"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1F14A6-7E23-3E8C-CEE9-9A2D3FF13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1F14A6-7E23-3E8C-CEE9-9A2D3FF13C09}"/>
                        </a:ext>
                      </a:extLst>
                    </pic:cNvPr>
                    <pic:cNvPicPr>
                      <a:picLocks noChangeAspect="1"/>
                    </pic:cNvPicPr>
                  </pic:nvPicPr>
                  <pic:blipFill>
                    <a:blip r:embed="rId16"/>
                    <a:stretch>
                      <a:fillRect/>
                    </a:stretch>
                  </pic:blipFill>
                  <pic:spPr>
                    <a:xfrm>
                      <a:off x="0" y="0"/>
                      <a:ext cx="6351270" cy="2044700"/>
                    </a:xfrm>
                    <a:prstGeom prst="rect">
                      <a:avLst/>
                    </a:prstGeom>
                  </pic:spPr>
                </pic:pic>
              </a:graphicData>
            </a:graphic>
          </wp:inline>
        </w:drawing>
      </w:r>
    </w:p>
    <w:p w14:paraId="7E57E830" w14:textId="77777777" w:rsidR="00B063D6" w:rsidRPr="006E7E0B" w:rsidRDefault="00B063D6" w:rsidP="00B063D6">
      <w:pPr>
        <w:rPr>
          <w:sz w:val="22"/>
          <w:szCs w:val="22"/>
          <w:lang w:val="es-MX"/>
        </w:rPr>
      </w:pPr>
      <w:r w:rsidRPr="006E7E0B">
        <w:rPr>
          <w:sz w:val="22"/>
          <w:szCs w:val="22"/>
          <w:lang w:val="es-MX"/>
        </w:rPr>
        <w:t xml:space="preserve"> </w:t>
      </w:r>
    </w:p>
    <w:p w14:paraId="0D737F30" w14:textId="77777777" w:rsidR="00B063D6" w:rsidRPr="006E7E0B" w:rsidRDefault="00B063D6" w:rsidP="00B063D6">
      <w:pPr>
        <w:numPr>
          <w:ilvl w:val="0"/>
          <w:numId w:val="19"/>
        </w:numPr>
        <w:rPr>
          <w:sz w:val="22"/>
          <w:szCs w:val="22"/>
          <w:lang w:val="es-MX"/>
        </w:rPr>
      </w:pPr>
      <w:r w:rsidRPr="006E7E0B">
        <w:rPr>
          <w:sz w:val="22"/>
          <w:szCs w:val="22"/>
          <w:lang w:val="es-MX"/>
        </w:rPr>
        <w:t xml:space="preserve">La deuda respecto a los ingresos de libre disposición se situó en 44.57%, dentro de los parámetros establecidos en la normativa aplicable. </w:t>
      </w:r>
    </w:p>
    <w:p w14:paraId="22E310C2" w14:textId="77777777" w:rsidR="00B063D6" w:rsidRDefault="00B063D6" w:rsidP="00B063D6">
      <w:pPr>
        <w:rPr>
          <w:sz w:val="22"/>
          <w:szCs w:val="22"/>
          <w:lang w:val="es-MX"/>
        </w:rPr>
      </w:pPr>
      <w:r w:rsidRPr="006A25AD">
        <w:rPr>
          <w:noProof/>
          <w:lang w:val="es-MX" w:eastAsia="es-MX"/>
        </w:rPr>
        <w:drawing>
          <wp:inline distT="0" distB="0" distL="0" distR="0" wp14:anchorId="1A09D1A0" wp14:editId="05BB9B6E">
            <wp:extent cx="6351270" cy="787400"/>
            <wp:effectExtent l="0" t="0" r="0" b="0"/>
            <wp:docPr id="10699165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1270" cy="787400"/>
                    </a:xfrm>
                    <a:prstGeom prst="rect">
                      <a:avLst/>
                    </a:prstGeom>
                    <a:noFill/>
                    <a:ln>
                      <a:noFill/>
                    </a:ln>
                  </pic:spPr>
                </pic:pic>
              </a:graphicData>
            </a:graphic>
          </wp:inline>
        </w:drawing>
      </w:r>
    </w:p>
    <w:p w14:paraId="7C069E6A" w14:textId="77777777" w:rsidR="00B063D6" w:rsidRDefault="00B063D6" w:rsidP="00B063D6">
      <w:pPr>
        <w:rPr>
          <w:sz w:val="22"/>
          <w:szCs w:val="22"/>
          <w:lang w:val="es-MX"/>
        </w:rPr>
      </w:pPr>
      <w:r>
        <w:rPr>
          <w:noProof/>
          <w:lang w:val="es-MX" w:eastAsia="es-MX"/>
        </w:rPr>
        <w:lastRenderedPageBreak/>
        <w:drawing>
          <wp:inline distT="0" distB="0" distL="0" distR="0" wp14:anchorId="09467633" wp14:editId="6F312E95">
            <wp:extent cx="6351270" cy="2405380"/>
            <wp:effectExtent l="0" t="0" r="0" b="0"/>
            <wp:docPr id="538508874" name="Imagen 4"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69CFDF-5BAF-9D70-71A6-DEF3B8C91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69CFDF-5BAF-9D70-71A6-DEF3B8C91F46}"/>
                        </a:ext>
                      </a:extLst>
                    </pic:cNvPr>
                    <pic:cNvPicPr>
                      <a:picLocks noChangeAspect="1"/>
                    </pic:cNvPicPr>
                  </pic:nvPicPr>
                  <pic:blipFill>
                    <a:blip r:embed="rId18"/>
                    <a:stretch>
                      <a:fillRect/>
                    </a:stretch>
                  </pic:blipFill>
                  <pic:spPr>
                    <a:xfrm>
                      <a:off x="0" y="0"/>
                      <a:ext cx="6351270" cy="2405380"/>
                    </a:xfrm>
                    <a:prstGeom prst="rect">
                      <a:avLst/>
                    </a:prstGeom>
                  </pic:spPr>
                </pic:pic>
              </a:graphicData>
            </a:graphic>
          </wp:inline>
        </w:drawing>
      </w:r>
    </w:p>
    <w:p w14:paraId="24F854B3" w14:textId="77777777" w:rsidR="00B063D6" w:rsidRDefault="00B063D6" w:rsidP="00B063D6">
      <w:pPr>
        <w:rPr>
          <w:sz w:val="22"/>
          <w:szCs w:val="22"/>
          <w:lang w:val="es-MX"/>
        </w:rPr>
      </w:pPr>
    </w:p>
    <w:p w14:paraId="65D62B2B" w14:textId="77777777" w:rsidR="00B063D6" w:rsidRPr="006E7E0B" w:rsidRDefault="00B063D6" w:rsidP="00B063D6">
      <w:pPr>
        <w:rPr>
          <w:sz w:val="22"/>
          <w:szCs w:val="22"/>
          <w:lang w:val="es-MX"/>
        </w:rPr>
      </w:pPr>
      <w:r w:rsidRPr="006E7E0B">
        <w:rPr>
          <w:sz w:val="22"/>
          <w:szCs w:val="22"/>
          <w:lang w:val="es-MX"/>
        </w:rPr>
        <w:t>Asimismo, el Estado dio cumplimiento oportuno al servicio de la deuda, mediante el uso de fuentes de pago previstas en la Ley de Coordinación Fiscal, sin registrar incumplimientos durante el ejercicio.</w:t>
      </w:r>
    </w:p>
    <w:p w14:paraId="64431026" w14:textId="77777777" w:rsidR="00B063D6" w:rsidRDefault="00B063D6" w:rsidP="00B063D6">
      <w:pPr>
        <w:rPr>
          <w:sz w:val="22"/>
          <w:szCs w:val="22"/>
          <w:lang w:val="es-MX"/>
        </w:rPr>
      </w:pPr>
    </w:p>
    <w:p w14:paraId="7BCF617C" w14:textId="77777777" w:rsidR="00B063D6" w:rsidRPr="006E7E0B" w:rsidRDefault="00B063D6" w:rsidP="00B063D6">
      <w:pPr>
        <w:rPr>
          <w:sz w:val="22"/>
          <w:szCs w:val="22"/>
          <w:lang w:val="es-MX"/>
        </w:rPr>
      </w:pPr>
      <w:r w:rsidRPr="006E7E0B">
        <w:rPr>
          <w:sz w:val="22"/>
          <w:szCs w:val="22"/>
          <w:lang w:val="es-MX"/>
        </w:rPr>
        <w:t>En el entorno financiero, si bien durante los últimos años se observó un incremento significativo en las tasas de interés de referencia, a partir del segundo semestre de 2025 se identifica una tendencia a la baja, lo que representa un factor favorable para el costo financiero de la deuda.</w:t>
      </w:r>
    </w:p>
    <w:p w14:paraId="5DDBD086" w14:textId="77777777" w:rsidR="00B063D6" w:rsidRDefault="00B063D6" w:rsidP="00B063D6">
      <w:pPr>
        <w:rPr>
          <w:sz w:val="22"/>
          <w:szCs w:val="22"/>
          <w:lang w:val="es-MX"/>
        </w:rPr>
      </w:pPr>
    </w:p>
    <w:p w14:paraId="54DB95E5" w14:textId="77777777" w:rsidR="00B063D6" w:rsidRPr="006E7E0B" w:rsidRDefault="00B063D6" w:rsidP="00B063D6">
      <w:pPr>
        <w:rPr>
          <w:sz w:val="22"/>
          <w:szCs w:val="22"/>
          <w:lang w:val="es-MX"/>
        </w:rPr>
      </w:pPr>
      <w:r w:rsidRPr="006E7E0B">
        <w:rPr>
          <w:sz w:val="22"/>
          <w:szCs w:val="22"/>
          <w:lang w:val="es-MX"/>
        </w:rPr>
        <w:t xml:space="preserve">Finalmente, el Estado mantuvo un resultado positivo en la evaluación del Sistema de Alertas de la Secretaría de Hacienda y Crédito Público, ubicándose en nivel de </w:t>
      </w:r>
      <w:r w:rsidRPr="006E7E0B">
        <w:rPr>
          <w:b/>
          <w:bCs/>
          <w:sz w:val="22"/>
          <w:szCs w:val="22"/>
          <w:lang w:val="es-MX"/>
        </w:rPr>
        <w:t>endeudamiento sostenible (semáforo verde)</w:t>
      </w:r>
      <w:r w:rsidRPr="006E7E0B">
        <w:rPr>
          <w:sz w:val="22"/>
          <w:szCs w:val="22"/>
          <w:lang w:val="es-MX"/>
        </w:rPr>
        <w:t>, lo que confirma su capacidad para atender sus compromisos financieros y mantener un manejo prudente del endeudamiento.</w:t>
      </w:r>
    </w:p>
    <w:p w14:paraId="07125DA4" w14:textId="77777777" w:rsidR="00B063D6" w:rsidRDefault="00B063D6" w:rsidP="00B063D6">
      <w:pPr>
        <w:rPr>
          <w:sz w:val="22"/>
          <w:szCs w:val="22"/>
          <w:lang w:val="es-MX"/>
        </w:rPr>
      </w:pPr>
    </w:p>
    <w:p w14:paraId="669F222F" w14:textId="77777777" w:rsidR="00B063D6" w:rsidRPr="006E7E0B" w:rsidRDefault="00B063D6" w:rsidP="00B063D6">
      <w:pPr>
        <w:rPr>
          <w:sz w:val="22"/>
          <w:szCs w:val="22"/>
          <w:lang w:val="es-MX"/>
        </w:rPr>
      </w:pPr>
      <w:r w:rsidRPr="006E7E0B">
        <w:rPr>
          <w:sz w:val="22"/>
          <w:szCs w:val="22"/>
          <w:lang w:val="es-MX"/>
        </w:rPr>
        <w:t>En conjunto, el comportamiento de la deuda pública durante 2025 refleja una posición financiera sólida, con indicadores de sostenibilidad favorables y una gestión alineada a los principios de disciplina financiera.</w:t>
      </w:r>
    </w:p>
    <w:p w14:paraId="127AFEDE" w14:textId="281715B4" w:rsidR="0028137C" w:rsidRPr="0083045C" w:rsidRDefault="0028137C" w:rsidP="0083045C">
      <w:pPr>
        <w:rPr>
          <w:sz w:val="22"/>
          <w:szCs w:val="22"/>
        </w:rPr>
      </w:pPr>
    </w:p>
    <w:p w14:paraId="08522071" w14:textId="77777777" w:rsidR="0028137C" w:rsidRDefault="0028137C" w:rsidP="0028137C">
      <w:pPr>
        <w:spacing w:before="0" w:after="0"/>
        <w:rPr>
          <w:rFonts w:eastAsia="Calibri" w:cs="Times New Roman"/>
          <w:b/>
          <w:sz w:val="22"/>
          <w:szCs w:val="22"/>
        </w:rPr>
      </w:pPr>
    </w:p>
    <w:p w14:paraId="51B340CD" w14:textId="18A858CF" w:rsidR="0028137C" w:rsidRDefault="0028137C" w:rsidP="0028137C">
      <w:pPr>
        <w:spacing w:before="0" w:after="0"/>
        <w:rPr>
          <w:rFonts w:eastAsia="Calibri" w:cs="Times New Roman"/>
          <w:b/>
          <w:sz w:val="22"/>
          <w:szCs w:val="22"/>
        </w:rPr>
      </w:pPr>
    </w:p>
    <w:p w14:paraId="64C9E9B0" w14:textId="0D63BC71" w:rsidR="0028137C" w:rsidRPr="003628D8" w:rsidRDefault="0028137C" w:rsidP="0028137C">
      <w:pPr>
        <w:spacing w:before="0" w:after="0"/>
        <w:jc w:val="center"/>
        <w:rPr>
          <w:rFonts w:eastAsia="Calibri" w:cs="Times New Roman"/>
          <w:b/>
          <w:sz w:val="22"/>
          <w:szCs w:val="22"/>
        </w:rPr>
      </w:pPr>
    </w:p>
    <w:p w14:paraId="3116F063" w14:textId="77777777" w:rsidR="0028137C" w:rsidRDefault="0028137C" w:rsidP="0028137C">
      <w:pPr>
        <w:spacing w:before="0" w:after="0"/>
        <w:rPr>
          <w:rFonts w:eastAsia="Calibri" w:cs="Times New Roman"/>
          <w:b/>
          <w:sz w:val="22"/>
          <w:szCs w:val="22"/>
        </w:rPr>
      </w:pPr>
    </w:p>
    <w:p w14:paraId="1EF516D6" w14:textId="77777777" w:rsidR="0028137C" w:rsidRDefault="0028137C">
      <w:pPr>
        <w:rPr>
          <w:color w:val="864A04" w:themeColor="accent2" w:themeShade="80"/>
          <w:u w:val="single"/>
        </w:rPr>
      </w:pPr>
    </w:p>
    <w:p w14:paraId="1C39CE6B" w14:textId="77777777" w:rsidR="0028137C" w:rsidRDefault="0028137C">
      <w:pPr>
        <w:rPr>
          <w:color w:val="864A04" w:themeColor="accent2" w:themeShade="80"/>
          <w:u w:val="single"/>
        </w:rPr>
      </w:pPr>
    </w:p>
    <w:p w14:paraId="209E6FB3" w14:textId="77777777" w:rsidR="0028137C" w:rsidRDefault="0028137C">
      <w:pPr>
        <w:rPr>
          <w:color w:val="864A04" w:themeColor="accent2" w:themeShade="80"/>
          <w:u w:val="single"/>
        </w:rPr>
      </w:pPr>
    </w:p>
    <w:p w14:paraId="3DDFE2B4" w14:textId="77777777" w:rsidR="0028137C" w:rsidRDefault="0028137C">
      <w:pPr>
        <w:rPr>
          <w:color w:val="864A04" w:themeColor="accent2" w:themeShade="80"/>
          <w:u w:val="single"/>
        </w:rPr>
      </w:pPr>
    </w:p>
    <w:p w14:paraId="609E29CA" w14:textId="77777777" w:rsidR="0028137C" w:rsidRDefault="0028137C">
      <w:pPr>
        <w:rPr>
          <w:color w:val="864A04" w:themeColor="accent2" w:themeShade="80"/>
          <w:u w:val="single"/>
        </w:rPr>
      </w:pPr>
    </w:p>
    <w:p w14:paraId="41EDE65D" w14:textId="70721B1A" w:rsidR="0028137C" w:rsidRDefault="001578A9" w:rsidP="0028137C">
      <w:pPr>
        <w:jc w:val="center"/>
        <w:rPr>
          <w:color w:val="864A04" w:themeColor="accent2" w:themeShade="80"/>
          <w:u w:val="single"/>
        </w:rPr>
      </w:pPr>
      <w:r w:rsidRPr="005D257C">
        <w:rPr>
          <w:noProof/>
          <w:color w:val="FF0000"/>
          <w:sz w:val="22"/>
          <w:szCs w:val="22"/>
          <w:lang w:val="es-MX" w:eastAsia="es-MX"/>
        </w:rPr>
        <mc:AlternateContent>
          <mc:Choice Requires="wps">
            <w:drawing>
              <wp:anchor distT="45720" distB="45720" distL="114300" distR="114300" simplePos="0" relativeHeight="252128768" behindDoc="0" locked="0" layoutInCell="1" allowOverlap="1" wp14:anchorId="64869E51" wp14:editId="25D09DFF">
                <wp:simplePos x="0" y="0"/>
                <wp:positionH relativeFrom="margin">
                  <wp:align>center</wp:align>
                </wp:positionH>
                <wp:positionV relativeFrom="margin">
                  <wp:align>center</wp:align>
                </wp:positionV>
                <wp:extent cx="4010025" cy="2028825"/>
                <wp:effectExtent l="0" t="0" r="0" b="0"/>
                <wp:wrapSquare wrapText="bothSides"/>
                <wp:docPr id="74557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6A950B60" w14:textId="52220FD6" w:rsidR="001578A9" w:rsidRPr="00C35B08" w:rsidRDefault="001578A9" w:rsidP="001578A9">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IV. COMPORTAMIENTO DE LOS INGRESOS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869E51" id="_x0000_t202" coordsize="21600,21600" o:spt="202" path="m,l,21600r21600,l21600,xe">
                <v:stroke joinstyle="miter"/>
                <v:path gradientshapeok="t" o:connecttype="rect"/>
              </v:shapetype>
              <v:shape id="Text Box 2" o:spid="_x0000_s1026" type="#_x0000_t202" style="position:absolute;left:0;text-align:left;margin-left:0;margin-top:0;width:315.75pt;height:159.75pt;z-index:25212876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" filled="f" stroked="f">
                <v:textbox>
                  <w:txbxContent>
                    <w:p w14:paraId="6A950B60" w14:textId="52220FD6" w:rsidR="001578A9" w:rsidRPr="00C35B08" w:rsidRDefault="001578A9" w:rsidP="001578A9">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IV. COMPORTAMIENTO DE LOS INGRESOS</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26720" behindDoc="1" locked="0" layoutInCell="1" allowOverlap="1" wp14:anchorId="5D0DD5E6" wp14:editId="40E50EFC">
            <wp:simplePos x="857250" y="2181225"/>
            <wp:positionH relativeFrom="margin">
              <wp:align>center</wp:align>
            </wp:positionH>
            <wp:positionV relativeFrom="margin">
              <wp:align>center</wp:align>
            </wp:positionV>
            <wp:extent cx="5742000" cy="5742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p>
    <w:p w14:paraId="0860432D" w14:textId="77777777" w:rsidR="001578A9" w:rsidRDefault="001578A9" w:rsidP="00B063D6">
      <w:pPr>
        <w:rPr>
          <w:color w:val="864A04" w:themeColor="accent2" w:themeShade="80"/>
          <w:u w:val="single"/>
        </w:rPr>
      </w:pPr>
    </w:p>
    <w:p w14:paraId="5EC918A9" w14:textId="77777777" w:rsidR="006D46B8" w:rsidRDefault="006D46B8" w:rsidP="006D46B8">
      <w:pPr>
        <w:rPr>
          <w:sz w:val="22"/>
          <w:szCs w:val="22"/>
        </w:rPr>
      </w:pPr>
      <w:r w:rsidRPr="006D46B8">
        <w:rPr>
          <w:sz w:val="22"/>
          <w:szCs w:val="22"/>
        </w:rPr>
        <w:lastRenderedPageBreak/>
        <w:t>Para el ejercicio fiscal 2025 se estimaron ingresos por un monto de 98 mil 935 millones 474 mil 315 pesos; no obstante, al cierre del 31 de diciembre del mismo año se alcanzó una recaudación total de 110 mil 324 millones 352 mil 235 pesos, lo que implicó un desempeño superior en aproximadamente un 12% respecto a lo proyectado inicialmente. Este resultado pone de manifiesto un fortalecimiento en la eficiencia recaudatoria y en la gestión de los ingresos públicos, evidenciando una mayor capacidad de captación de recursos por parte de la administración. Del total recaudado, 8 mil 329 millones 391 mil 185 pesos corresponden a ingresos de origen estatal, mientras que 97 mil 460 millones 649 mil 148 pesos provienen de origen federal, lo que refleja una marcada dependencia de las participaciones y aportaciones federales como principal fuente de financiamiento, aunque también destaca el esfuerzo por incrementar la recaudación local.</w:t>
      </w:r>
    </w:p>
    <w:p w14:paraId="167AA28F" w14:textId="77777777" w:rsidR="006D46B8" w:rsidRPr="006D46B8" w:rsidRDefault="006D46B8" w:rsidP="006D46B8">
      <w:pPr>
        <w:rPr>
          <w:sz w:val="22"/>
          <w:szCs w:val="22"/>
        </w:rPr>
      </w:pPr>
    </w:p>
    <w:p w14:paraId="63C40022" w14:textId="77777777" w:rsidR="006D46B8" w:rsidRDefault="006D46B8" w:rsidP="006D46B8">
      <w:pPr>
        <w:rPr>
          <w:sz w:val="22"/>
          <w:szCs w:val="22"/>
        </w:rPr>
      </w:pPr>
      <w:r w:rsidRPr="006D46B8">
        <w:rPr>
          <w:sz w:val="22"/>
          <w:szCs w:val="22"/>
        </w:rPr>
        <w:t>En este sentido, al cierre del ejercicio 2025 se observa una mejora significativa en el diseño y aplicación de la estructura tributaria local, la cual se ha orientado a ser más eficiente, objetiva y justa. Esta reconfiguración se sustenta en la adecuada implementación de impuestos y derechos, mediante la fijación de cuotas y tarifas que buscan equilibrar la recuperación del costo de los servicios públicos con el respeto a la capacidad contributiva de las personas usuarias, evitando generar cargas fiscales desproporcionadas. Lo anterior no solo contribuye a fortalecer la hacienda pública, sino que también promueve un sistema tributario más equitativo y sostenible.</w:t>
      </w:r>
    </w:p>
    <w:p w14:paraId="79BAFEB8" w14:textId="77777777" w:rsidR="006D46B8" w:rsidRPr="006D46B8" w:rsidRDefault="006D46B8" w:rsidP="006D46B8">
      <w:pPr>
        <w:rPr>
          <w:sz w:val="22"/>
          <w:szCs w:val="22"/>
        </w:rPr>
      </w:pPr>
    </w:p>
    <w:p w14:paraId="7145F20A" w14:textId="77777777" w:rsidR="006D46B8" w:rsidRDefault="006D46B8" w:rsidP="006D46B8">
      <w:pPr>
        <w:rPr>
          <w:sz w:val="22"/>
          <w:szCs w:val="22"/>
        </w:rPr>
      </w:pPr>
      <w:r w:rsidRPr="006D46B8">
        <w:rPr>
          <w:sz w:val="22"/>
          <w:szCs w:val="22"/>
        </w:rPr>
        <w:t xml:space="preserve">Adicionalmente, cobra relevancia la composición de los ingresos por concepto de venta de bienes, prestación de servicios y otros ingresos, los cuales representan una fuente complementaria dentro de las finanzas públicas. Estos ingresos incluyen los recursos propios generados por los Poderes Legislativo y Judicial, así como por los Órganos Autónomos y las entidades que integran la administración pública paraestatal y paramunicipal. Dichos recursos se derivan de actividades de producción, comercialización y prestación de servicios, además de otros ingresos obtenidos por actividades diversas que, aunque no forman parte directa de su operación sustantiva, permiten generar </w:t>
      </w:r>
      <w:r w:rsidRPr="006D46B8">
        <w:rPr>
          <w:sz w:val="22"/>
          <w:szCs w:val="22"/>
        </w:rPr>
        <w:lastRenderedPageBreak/>
        <w:t>recursos adicionales. En conjunto, estos elementos reflejan un esfuerzo integral por diversificar las fuentes de ingreso, optimizar la recaudación y consolidar una gestión financiera más sólida y eficiente.</w:t>
      </w:r>
    </w:p>
    <w:p w14:paraId="15CAD095" w14:textId="79E9659F" w:rsidR="006D46B8" w:rsidRDefault="006D46B8" w:rsidP="006D46B8">
      <w:pPr>
        <w:rPr>
          <w:sz w:val="22"/>
          <w:szCs w:val="22"/>
        </w:rPr>
      </w:pPr>
    </w:p>
    <w:p w14:paraId="20B0A1CC" w14:textId="04EC602D" w:rsidR="006D46B8" w:rsidRDefault="006D46B8" w:rsidP="006D46B8">
      <w:pPr>
        <w:rPr>
          <w:sz w:val="22"/>
          <w:szCs w:val="22"/>
        </w:rPr>
      </w:pPr>
    </w:p>
    <w:p w14:paraId="333BD565" w14:textId="77777777" w:rsidR="006D46B8" w:rsidRPr="006D46B8" w:rsidRDefault="006D46B8" w:rsidP="006D46B8">
      <w:pPr>
        <w:rPr>
          <w:sz w:val="22"/>
          <w:szCs w:val="22"/>
        </w:rPr>
      </w:pPr>
    </w:p>
    <w:p w14:paraId="55C980F3" w14:textId="22A14947" w:rsidR="00017628" w:rsidRPr="00E46EE1" w:rsidRDefault="00017628" w:rsidP="00E46EE1">
      <w:pPr>
        <w:rPr>
          <w:sz w:val="22"/>
          <w:szCs w:val="22"/>
          <w:highlight w:val="yellow"/>
        </w:rPr>
      </w:pPr>
    </w:p>
    <w:p w14:paraId="2E64BAC0" w14:textId="48B40F33" w:rsidR="00017628" w:rsidRDefault="00017628" w:rsidP="00017628">
      <w:pPr>
        <w:jc w:val="center"/>
        <w:rPr>
          <w:rFonts w:cs="Arial"/>
          <w:sz w:val="22"/>
          <w:szCs w:val="22"/>
        </w:rPr>
      </w:pPr>
    </w:p>
    <w:p w14:paraId="695D34BC" w14:textId="77777777" w:rsidR="00017628" w:rsidRPr="00017628" w:rsidRDefault="00017628" w:rsidP="00017628">
      <w:pPr>
        <w:jc w:val="center"/>
        <w:rPr>
          <w:rFonts w:cs="Arial"/>
          <w:sz w:val="22"/>
          <w:szCs w:val="22"/>
        </w:rPr>
      </w:pPr>
    </w:p>
    <w:p w14:paraId="21834CD1" w14:textId="0A7D408D" w:rsidR="003A240E" w:rsidRDefault="003A240E" w:rsidP="003A240E">
      <w:pPr>
        <w:jc w:val="center"/>
        <w:rPr>
          <w:rFonts w:cs="Arial"/>
          <w:sz w:val="22"/>
          <w:szCs w:val="22"/>
        </w:rPr>
      </w:pPr>
    </w:p>
    <w:p w14:paraId="26EA801D" w14:textId="77777777" w:rsidR="003A240E" w:rsidRDefault="003A240E" w:rsidP="003A240E">
      <w:pPr>
        <w:jc w:val="center"/>
        <w:rPr>
          <w:rFonts w:cs="Arial"/>
          <w:sz w:val="22"/>
          <w:szCs w:val="22"/>
        </w:rPr>
      </w:pPr>
    </w:p>
    <w:p w14:paraId="275FF85B" w14:textId="7520C5EB" w:rsidR="003A240E" w:rsidRDefault="003A240E" w:rsidP="003A240E">
      <w:pPr>
        <w:jc w:val="center"/>
        <w:rPr>
          <w:rFonts w:cs="Arial"/>
          <w:sz w:val="22"/>
          <w:szCs w:val="22"/>
        </w:rPr>
      </w:pPr>
    </w:p>
    <w:p w14:paraId="5E71650A" w14:textId="23282F87" w:rsidR="003A240E" w:rsidRDefault="003A240E" w:rsidP="003A240E">
      <w:pPr>
        <w:jc w:val="center"/>
        <w:rPr>
          <w:rFonts w:cs="Arial"/>
          <w:sz w:val="22"/>
          <w:szCs w:val="22"/>
        </w:rPr>
      </w:pPr>
    </w:p>
    <w:p w14:paraId="197645B5" w14:textId="77777777" w:rsidR="006D46B8" w:rsidRDefault="006D46B8" w:rsidP="003A240E">
      <w:pPr>
        <w:jc w:val="center"/>
        <w:rPr>
          <w:rFonts w:cs="Arial"/>
          <w:sz w:val="22"/>
          <w:szCs w:val="22"/>
        </w:rPr>
      </w:pPr>
    </w:p>
    <w:p w14:paraId="695CE534" w14:textId="77777777" w:rsidR="006D46B8" w:rsidRDefault="006D46B8" w:rsidP="003A240E">
      <w:pPr>
        <w:jc w:val="center"/>
        <w:rPr>
          <w:rFonts w:cs="Arial"/>
          <w:sz w:val="22"/>
          <w:szCs w:val="22"/>
        </w:rPr>
      </w:pPr>
    </w:p>
    <w:p w14:paraId="2BD1DB6D" w14:textId="77777777" w:rsidR="006D46B8" w:rsidRDefault="006D46B8" w:rsidP="003A240E">
      <w:pPr>
        <w:jc w:val="center"/>
        <w:rPr>
          <w:rFonts w:cs="Arial"/>
          <w:sz w:val="22"/>
          <w:szCs w:val="22"/>
        </w:rPr>
      </w:pPr>
    </w:p>
    <w:p w14:paraId="2CDBAEC7" w14:textId="77777777" w:rsidR="006D46B8" w:rsidRDefault="006D46B8" w:rsidP="003A240E">
      <w:pPr>
        <w:jc w:val="center"/>
        <w:rPr>
          <w:rFonts w:cs="Arial"/>
          <w:sz w:val="22"/>
          <w:szCs w:val="22"/>
        </w:rPr>
      </w:pPr>
    </w:p>
    <w:p w14:paraId="02CCDB64" w14:textId="77777777" w:rsidR="006D46B8" w:rsidRDefault="006D46B8" w:rsidP="003A240E">
      <w:pPr>
        <w:jc w:val="center"/>
        <w:rPr>
          <w:rFonts w:cs="Arial"/>
          <w:sz w:val="22"/>
          <w:szCs w:val="22"/>
        </w:rPr>
      </w:pPr>
    </w:p>
    <w:p w14:paraId="08094FAB" w14:textId="77777777" w:rsidR="006D46B8" w:rsidRDefault="006D46B8" w:rsidP="003A240E">
      <w:pPr>
        <w:jc w:val="center"/>
        <w:rPr>
          <w:rFonts w:cs="Arial"/>
          <w:sz w:val="22"/>
          <w:szCs w:val="22"/>
        </w:rPr>
      </w:pPr>
    </w:p>
    <w:p w14:paraId="6841F969" w14:textId="77777777" w:rsidR="006D46B8" w:rsidRDefault="006D46B8" w:rsidP="003A240E">
      <w:pPr>
        <w:jc w:val="center"/>
        <w:rPr>
          <w:rFonts w:cs="Arial"/>
          <w:sz w:val="22"/>
          <w:szCs w:val="22"/>
        </w:rPr>
      </w:pPr>
    </w:p>
    <w:p w14:paraId="460A1B02" w14:textId="77777777" w:rsidR="006D46B8" w:rsidRDefault="006D46B8" w:rsidP="003A240E">
      <w:pPr>
        <w:jc w:val="center"/>
        <w:rPr>
          <w:rFonts w:cs="Arial"/>
          <w:sz w:val="22"/>
          <w:szCs w:val="22"/>
        </w:rPr>
      </w:pPr>
    </w:p>
    <w:p w14:paraId="0CBAFF89" w14:textId="77777777" w:rsidR="006D46B8" w:rsidRDefault="006D46B8" w:rsidP="003A240E">
      <w:pPr>
        <w:jc w:val="center"/>
        <w:rPr>
          <w:rFonts w:cs="Arial"/>
          <w:sz w:val="22"/>
          <w:szCs w:val="22"/>
        </w:rPr>
      </w:pPr>
    </w:p>
    <w:p w14:paraId="7CE9DC25" w14:textId="77777777" w:rsidR="006D46B8" w:rsidRDefault="006D46B8" w:rsidP="003A240E">
      <w:pPr>
        <w:jc w:val="center"/>
        <w:rPr>
          <w:rFonts w:cs="Arial"/>
          <w:sz w:val="22"/>
          <w:szCs w:val="22"/>
        </w:rPr>
      </w:pPr>
    </w:p>
    <w:p w14:paraId="32AF6C2E" w14:textId="77777777" w:rsidR="006D46B8" w:rsidRDefault="006D46B8" w:rsidP="003A240E">
      <w:pPr>
        <w:jc w:val="center"/>
        <w:rPr>
          <w:rFonts w:cs="Arial"/>
          <w:sz w:val="22"/>
          <w:szCs w:val="22"/>
        </w:rPr>
      </w:pPr>
    </w:p>
    <w:p w14:paraId="0ED5FA8E" w14:textId="77777777" w:rsidR="006D46B8" w:rsidRDefault="006D46B8" w:rsidP="003A240E">
      <w:pPr>
        <w:jc w:val="center"/>
        <w:rPr>
          <w:rFonts w:cs="Arial"/>
          <w:sz w:val="22"/>
          <w:szCs w:val="22"/>
        </w:rPr>
      </w:pPr>
    </w:p>
    <w:p w14:paraId="41F9C4E5" w14:textId="77777777" w:rsidR="006D46B8" w:rsidRDefault="006D46B8" w:rsidP="003A240E">
      <w:pPr>
        <w:jc w:val="center"/>
        <w:rPr>
          <w:rFonts w:cs="Arial"/>
          <w:sz w:val="22"/>
          <w:szCs w:val="22"/>
        </w:rPr>
      </w:pPr>
    </w:p>
    <w:p w14:paraId="26035E95" w14:textId="77777777" w:rsidR="006D46B8" w:rsidRDefault="006D46B8" w:rsidP="003A240E">
      <w:pPr>
        <w:jc w:val="center"/>
        <w:rPr>
          <w:rFonts w:cs="Arial"/>
          <w:sz w:val="22"/>
          <w:szCs w:val="22"/>
        </w:rPr>
      </w:pPr>
    </w:p>
    <w:p w14:paraId="6A50485A" w14:textId="77777777" w:rsidR="006D46B8" w:rsidRDefault="006D46B8" w:rsidP="003A240E">
      <w:pPr>
        <w:jc w:val="center"/>
        <w:rPr>
          <w:rFonts w:cs="Arial"/>
          <w:sz w:val="22"/>
          <w:szCs w:val="22"/>
        </w:rPr>
      </w:pPr>
    </w:p>
    <w:p w14:paraId="24F496D0" w14:textId="77777777" w:rsidR="006D46B8" w:rsidRDefault="006D46B8" w:rsidP="003A240E">
      <w:pPr>
        <w:jc w:val="center"/>
        <w:rPr>
          <w:rFonts w:cs="Arial"/>
          <w:sz w:val="22"/>
          <w:szCs w:val="22"/>
        </w:rPr>
      </w:pPr>
    </w:p>
    <w:p w14:paraId="564A758A" w14:textId="77777777" w:rsidR="006D46B8" w:rsidRDefault="006D46B8" w:rsidP="003A240E">
      <w:pPr>
        <w:jc w:val="center"/>
        <w:rPr>
          <w:rFonts w:cs="Arial"/>
          <w:sz w:val="22"/>
          <w:szCs w:val="22"/>
        </w:rPr>
      </w:pPr>
    </w:p>
    <w:p w14:paraId="018C1005" w14:textId="71A79DFD" w:rsidR="006D46B8" w:rsidRDefault="006D46B8" w:rsidP="003A240E">
      <w:pPr>
        <w:jc w:val="center"/>
        <w:rPr>
          <w:rFonts w:cs="Arial"/>
          <w:sz w:val="22"/>
          <w:szCs w:val="22"/>
        </w:rPr>
      </w:pPr>
    </w:p>
    <w:p w14:paraId="754F3DF8" w14:textId="48C6109C" w:rsidR="006D46B8" w:rsidRDefault="006D46B8" w:rsidP="003A240E">
      <w:pPr>
        <w:jc w:val="center"/>
        <w:rPr>
          <w:rFonts w:cs="Arial"/>
          <w:sz w:val="22"/>
          <w:szCs w:val="22"/>
        </w:rPr>
      </w:pPr>
    </w:p>
    <w:p w14:paraId="7C094F19" w14:textId="371B57B3" w:rsidR="006D46B8" w:rsidRDefault="006D46B8" w:rsidP="003A240E">
      <w:pPr>
        <w:jc w:val="center"/>
        <w:rPr>
          <w:rFonts w:cs="Arial"/>
          <w:sz w:val="22"/>
          <w:szCs w:val="22"/>
        </w:rPr>
      </w:pPr>
    </w:p>
    <w:p w14:paraId="0C2C6F24" w14:textId="0555C3A2" w:rsidR="006D46B8" w:rsidRDefault="006D46B8" w:rsidP="003A240E">
      <w:pPr>
        <w:jc w:val="center"/>
        <w:rPr>
          <w:rFonts w:cs="Arial"/>
          <w:sz w:val="22"/>
          <w:szCs w:val="22"/>
        </w:rPr>
      </w:pPr>
      <w:r w:rsidRPr="005D257C">
        <w:rPr>
          <w:noProof/>
          <w:color w:val="FF0000"/>
          <w:sz w:val="22"/>
          <w:szCs w:val="22"/>
          <w:lang w:val="es-MX" w:eastAsia="es-MX"/>
        </w:rPr>
        <mc:AlternateContent>
          <mc:Choice Requires="wps">
            <w:drawing>
              <wp:anchor distT="45720" distB="45720" distL="114300" distR="114300" simplePos="0" relativeHeight="252132864" behindDoc="0" locked="0" layoutInCell="1" allowOverlap="1" wp14:anchorId="45ED61AF" wp14:editId="220F9B9F">
                <wp:simplePos x="0" y="0"/>
                <wp:positionH relativeFrom="margin">
                  <wp:align>center</wp:align>
                </wp:positionH>
                <wp:positionV relativeFrom="margin">
                  <wp:align>center</wp:align>
                </wp:positionV>
                <wp:extent cx="4010025" cy="20288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48D47547" w14:textId="07EA7273" w:rsidR="00C35B08" w:rsidRPr="00C35B08" w:rsidRDefault="00C35B08" w:rsidP="00C35B08">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 xml:space="preserve">V. COMPORTAMIENTO </w:t>
                            </w:r>
                            <w:r>
                              <w:rPr>
                                <w:rFonts w:asciiTheme="minorHAnsi" w:hAnsiTheme="minorHAnsi" w:cstheme="minorHAnsi"/>
                                <w:b/>
                                <w:i/>
                                <w:color w:val="FFFFFF" w:themeColor="background1"/>
                                <w:sz w:val="52"/>
                              </w:rPr>
                              <w:t>DEL GASTO PÚBLICO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D61AF" id="_x0000_s1027" type="#_x0000_t202" style="position:absolute;left:0;text-align:left;margin-left:0;margin-top:0;width:315.75pt;height:159.75pt;z-index:2521328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" filled="f" stroked="f">
                <v:textbox>
                  <w:txbxContent>
                    <w:p w14:paraId="48D47547" w14:textId="07EA7273" w:rsidR="00C35B08" w:rsidRPr="00C35B08" w:rsidRDefault="00C35B08" w:rsidP="00C35B08">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 xml:space="preserve">V. COMPORTAMIENTO </w:t>
                      </w:r>
                      <w:r>
                        <w:rPr>
                          <w:rFonts w:asciiTheme="minorHAnsi" w:hAnsiTheme="minorHAnsi" w:cstheme="minorHAnsi"/>
                          <w:b/>
                          <w:i/>
                          <w:color w:val="FFFFFF" w:themeColor="background1"/>
                          <w:sz w:val="52"/>
                        </w:rPr>
                        <w:t>DEL GASTO PÚBLICO</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30816" behindDoc="1" locked="0" layoutInCell="1" allowOverlap="1" wp14:anchorId="78AD64B3" wp14:editId="08AE7790">
            <wp:simplePos x="0" y="0"/>
            <wp:positionH relativeFrom="margin">
              <wp:align>center</wp:align>
            </wp:positionH>
            <wp:positionV relativeFrom="page">
              <wp:align>center</wp:align>
            </wp:positionV>
            <wp:extent cx="5742000" cy="5742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p>
    <w:p w14:paraId="1FB071B3" w14:textId="77777777" w:rsidR="006D46B8" w:rsidRDefault="006D46B8" w:rsidP="003A240E">
      <w:pPr>
        <w:jc w:val="center"/>
        <w:rPr>
          <w:rFonts w:cs="Arial"/>
          <w:sz w:val="22"/>
          <w:szCs w:val="22"/>
        </w:rPr>
      </w:pPr>
    </w:p>
    <w:p w14:paraId="6BEAB41A" w14:textId="77777777" w:rsidR="00040D58" w:rsidRDefault="00040D58" w:rsidP="003A240E">
      <w:pPr>
        <w:rPr>
          <w:rFonts w:cs="Arial"/>
          <w:sz w:val="22"/>
          <w:szCs w:val="22"/>
        </w:rPr>
      </w:pPr>
    </w:p>
    <w:p w14:paraId="7CC2736D" w14:textId="77777777" w:rsidR="002D04D1" w:rsidRDefault="002D04D1" w:rsidP="003A240E">
      <w:pPr>
        <w:rPr>
          <w:rFonts w:cs="Arial"/>
          <w:sz w:val="22"/>
          <w:szCs w:val="22"/>
        </w:rPr>
      </w:pPr>
    </w:p>
    <w:p w14:paraId="02221706" w14:textId="77777777" w:rsidR="00C35B08" w:rsidRDefault="00C35B08" w:rsidP="003A240E">
      <w:pPr>
        <w:rPr>
          <w:sz w:val="22"/>
          <w:szCs w:val="22"/>
        </w:rPr>
      </w:pPr>
    </w:p>
    <w:p w14:paraId="09450C0F" w14:textId="77777777" w:rsidR="00C35B08" w:rsidRDefault="00C35B08" w:rsidP="003A240E">
      <w:pPr>
        <w:rPr>
          <w:sz w:val="22"/>
          <w:szCs w:val="22"/>
        </w:rPr>
      </w:pPr>
    </w:p>
    <w:p w14:paraId="4EEFFE68" w14:textId="255A42CC" w:rsidR="003A240E" w:rsidRPr="0083045C" w:rsidRDefault="003A240E" w:rsidP="003A240E">
      <w:pPr>
        <w:rPr>
          <w:sz w:val="22"/>
          <w:szCs w:val="22"/>
        </w:rPr>
      </w:pPr>
      <w:r w:rsidRPr="0083045C">
        <w:rPr>
          <w:sz w:val="22"/>
          <w:szCs w:val="22"/>
        </w:rPr>
        <w:lastRenderedPageBreak/>
        <w:t>De conformidad con el Ordenamiento de austeridad vigente se han establecido políticas del gasto público a fin de atender las necesidades prioritarias del Estado y sus municipios.</w:t>
      </w:r>
    </w:p>
    <w:p w14:paraId="203A4F69" w14:textId="77777777" w:rsidR="003A240E" w:rsidRPr="0083045C" w:rsidRDefault="003A240E" w:rsidP="003A240E">
      <w:pPr>
        <w:rPr>
          <w:sz w:val="22"/>
          <w:szCs w:val="22"/>
        </w:rPr>
      </w:pPr>
    </w:p>
    <w:p w14:paraId="78391D7E" w14:textId="4EB61235" w:rsidR="003A240E" w:rsidRDefault="003A240E" w:rsidP="003A240E">
      <w:pPr>
        <w:rPr>
          <w:sz w:val="22"/>
          <w:szCs w:val="22"/>
        </w:rPr>
      </w:pPr>
      <w:r w:rsidRPr="0083045C">
        <w:rPr>
          <w:sz w:val="22"/>
          <w:szCs w:val="22"/>
        </w:rPr>
        <w:t>Así pues, se</w:t>
      </w:r>
      <w:r w:rsidR="00BC1E97" w:rsidRPr="0083045C">
        <w:rPr>
          <w:sz w:val="22"/>
          <w:szCs w:val="22"/>
        </w:rPr>
        <w:t xml:space="preserve"> </w:t>
      </w:r>
      <w:r w:rsidR="00451B0E">
        <w:rPr>
          <w:sz w:val="22"/>
          <w:szCs w:val="22"/>
        </w:rPr>
        <w:t>h</w:t>
      </w:r>
      <w:r w:rsidR="004C0297">
        <w:rPr>
          <w:sz w:val="22"/>
          <w:szCs w:val="22"/>
        </w:rPr>
        <w:t>a ejercido un presupuesto de 108</w:t>
      </w:r>
      <w:r w:rsidRPr="0083045C">
        <w:rPr>
          <w:sz w:val="22"/>
          <w:szCs w:val="22"/>
        </w:rPr>
        <w:t xml:space="preserve"> mil </w:t>
      </w:r>
      <w:r w:rsidR="004C0297">
        <w:rPr>
          <w:sz w:val="22"/>
          <w:szCs w:val="22"/>
        </w:rPr>
        <w:t>738</w:t>
      </w:r>
      <w:r w:rsidRPr="0083045C">
        <w:rPr>
          <w:sz w:val="22"/>
          <w:szCs w:val="22"/>
        </w:rPr>
        <w:t xml:space="preserve"> millones </w:t>
      </w:r>
      <w:r w:rsidR="004C0297">
        <w:rPr>
          <w:sz w:val="22"/>
          <w:szCs w:val="22"/>
        </w:rPr>
        <w:t>137</w:t>
      </w:r>
      <w:r w:rsidRPr="0083045C">
        <w:rPr>
          <w:sz w:val="22"/>
          <w:szCs w:val="22"/>
        </w:rPr>
        <w:t xml:space="preserve"> mil </w:t>
      </w:r>
      <w:r w:rsidR="004C0297">
        <w:rPr>
          <w:sz w:val="22"/>
          <w:szCs w:val="22"/>
        </w:rPr>
        <w:t>546</w:t>
      </w:r>
      <w:r w:rsidRPr="0083045C">
        <w:rPr>
          <w:sz w:val="22"/>
          <w:szCs w:val="22"/>
        </w:rPr>
        <w:t xml:space="preserve"> pesos como se muestra a continuación:</w:t>
      </w:r>
    </w:p>
    <w:p w14:paraId="15FAFA4C" w14:textId="435ADA92" w:rsidR="004064C7" w:rsidRDefault="00B063D6" w:rsidP="003A240E">
      <w:pPr>
        <w:rPr>
          <w:sz w:val="22"/>
          <w:szCs w:val="22"/>
        </w:rPr>
      </w:pPr>
      <w:r>
        <w:rPr>
          <w:noProof/>
          <w:sz w:val="22"/>
          <w:szCs w:val="22"/>
          <w:lang w:val="es-MX" w:eastAsia="es-MX"/>
        </w:rPr>
        <w:drawing>
          <wp:inline distT="0" distB="0" distL="0" distR="0" wp14:anchorId="6E965D01" wp14:editId="0F7FE90F">
            <wp:extent cx="5651500" cy="371919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3719195"/>
                    </a:xfrm>
                    <a:prstGeom prst="rect">
                      <a:avLst/>
                    </a:prstGeom>
                    <a:noFill/>
                  </pic:spPr>
                </pic:pic>
              </a:graphicData>
            </a:graphic>
          </wp:inline>
        </w:drawing>
      </w:r>
    </w:p>
    <w:p w14:paraId="36743316" w14:textId="77777777" w:rsidR="003A240E" w:rsidRDefault="003A240E" w:rsidP="003A240E">
      <w:pPr>
        <w:rPr>
          <w:rFonts w:cs="Arial"/>
          <w:sz w:val="22"/>
          <w:szCs w:val="22"/>
        </w:rPr>
      </w:pPr>
    </w:p>
    <w:p w14:paraId="35A1BC3E" w14:textId="77777777" w:rsidR="003B1790" w:rsidRDefault="003B1790" w:rsidP="003A240E">
      <w:pPr>
        <w:rPr>
          <w:rFonts w:cs="Arial"/>
          <w:sz w:val="22"/>
          <w:szCs w:val="22"/>
        </w:rPr>
      </w:pPr>
    </w:p>
    <w:p w14:paraId="7E31638B" w14:textId="2F88284B" w:rsidR="00E46EE1" w:rsidRDefault="00E46EE1" w:rsidP="003A240E">
      <w:pPr>
        <w:rPr>
          <w:rFonts w:cs="Arial"/>
          <w:sz w:val="22"/>
          <w:szCs w:val="22"/>
        </w:rPr>
      </w:pPr>
      <w:r>
        <w:rPr>
          <w:rFonts w:cs="Arial"/>
          <w:sz w:val="22"/>
          <w:szCs w:val="22"/>
        </w:rPr>
        <w:t xml:space="preserve">Desglosando la proporción del gasto </w:t>
      </w:r>
      <w:r w:rsidR="0069364D">
        <w:rPr>
          <w:rFonts w:cs="Arial"/>
          <w:sz w:val="22"/>
          <w:szCs w:val="22"/>
        </w:rPr>
        <w:t>público</w:t>
      </w:r>
      <w:r>
        <w:rPr>
          <w:rFonts w:cs="Arial"/>
          <w:sz w:val="22"/>
          <w:szCs w:val="22"/>
        </w:rPr>
        <w:t xml:space="preserve"> correspondiente al desarrollo social siendo este el de mayor </w:t>
      </w:r>
      <w:r w:rsidR="0069364D">
        <w:rPr>
          <w:rFonts w:cs="Arial"/>
          <w:sz w:val="22"/>
          <w:szCs w:val="22"/>
        </w:rPr>
        <w:t>proporción</w:t>
      </w:r>
      <w:r>
        <w:rPr>
          <w:rFonts w:cs="Arial"/>
          <w:sz w:val="22"/>
          <w:szCs w:val="22"/>
        </w:rPr>
        <w:t xml:space="preserve"> quedaría de la siguiente manera:</w:t>
      </w:r>
    </w:p>
    <w:p w14:paraId="167EBE8D" w14:textId="67F31B2D" w:rsidR="00E46EE1" w:rsidRDefault="004C0297" w:rsidP="003A240E">
      <w:pPr>
        <w:rPr>
          <w:rFonts w:cs="Arial"/>
          <w:sz w:val="22"/>
          <w:szCs w:val="22"/>
        </w:rPr>
      </w:pPr>
      <w:r>
        <w:rPr>
          <w:rFonts w:cs="Arial"/>
          <w:noProof/>
          <w:sz w:val="22"/>
          <w:szCs w:val="22"/>
          <w:lang w:val="es-MX" w:eastAsia="es-MX"/>
        </w:rPr>
        <w:lastRenderedPageBreak/>
        <w:drawing>
          <wp:inline distT="0" distB="0" distL="0" distR="0" wp14:anchorId="411CEA78" wp14:editId="4BFEBE46">
            <wp:extent cx="5547995" cy="38468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995" cy="3846830"/>
                    </a:xfrm>
                    <a:prstGeom prst="rect">
                      <a:avLst/>
                    </a:prstGeom>
                    <a:noFill/>
                  </pic:spPr>
                </pic:pic>
              </a:graphicData>
            </a:graphic>
          </wp:inline>
        </w:drawing>
      </w:r>
    </w:p>
    <w:p w14:paraId="3131D423" w14:textId="77777777" w:rsidR="0069364D" w:rsidRDefault="0069364D" w:rsidP="003A240E">
      <w:pPr>
        <w:rPr>
          <w:sz w:val="22"/>
          <w:szCs w:val="22"/>
        </w:rPr>
      </w:pPr>
    </w:p>
    <w:p w14:paraId="29C8C90E" w14:textId="157E8144" w:rsidR="00040D58" w:rsidRPr="0083045C" w:rsidRDefault="00040D58" w:rsidP="003A240E">
      <w:pPr>
        <w:rPr>
          <w:sz w:val="22"/>
          <w:szCs w:val="22"/>
        </w:rPr>
      </w:pPr>
      <w:r w:rsidRPr="0083045C">
        <w:rPr>
          <w:sz w:val="22"/>
          <w:szCs w:val="22"/>
        </w:rPr>
        <w:t xml:space="preserve">En este sentido, se puede observar la importancia </w:t>
      </w:r>
      <w:r w:rsidR="003E5F45" w:rsidRPr="0083045C">
        <w:rPr>
          <w:sz w:val="22"/>
          <w:szCs w:val="22"/>
        </w:rPr>
        <w:t xml:space="preserve">que </w:t>
      </w:r>
      <w:r w:rsidRPr="0083045C">
        <w:rPr>
          <w:sz w:val="22"/>
          <w:szCs w:val="22"/>
        </w:rPr>
        <w:t>tiene para este Gobierno el desarrollo social, al ser los programas prioritarios a los cuales se destina más recurso, derivado del compromiso de reducir las brechas socio económicas de la población e impactando en el impulso al crecimiento del Estado de Michoacán.</w:t>
      </w:r>
    </w:p>
    <w:p w14:paraId="293ED4A7" w14:textId="77777777" w:rsidR="00040D58" w:rsidRDefault="00040D58" w:rsidP="003A240E">
      <w:pPr>
        <w:rPr>
          <w:sz w:val="22"/>
          <w:szCs w:val="22"/>
        </w:rPr>
      </w:pPr>
    </w:p>
    <w:p w14:paraId="15A79B3B" w14:textId="77777777" w:rsidR="003B1790" w:rsidRDefault="003B1790" w:rsidP="003A240E">
      <w:pPr>
        <w:rPr>
          <w:sz w:val="22"/>
          <w:szCs w:val="22"/>
        </w:rPr>
      </w:pPr>
    </w:p>
    <w:p w14:paraId="59FAF09D" w14:textId="77777777" w:rsidR="003B1790" w:rsidRDefault="003B1790" w:rsidP="003A240E">
      <w:pPr>
        <w:rPr>
          <w:sz w:val="22"/>
          <w:szCs w:val="22"/>
        </w:rPr>
      </w:pPr>
    </w:p>
    <w:p w14:paraId="0AED8A22" w14:textId="77777777" w:rsidR="003B1790" w:rsidRDefault="003B1790" w:rsidP="003A240E">
      <w:pPr>
        <w:rPr>
          <w:sz w:val="22"/>
          <w:szCs w:val="22"/>
        </w:rPr>
      </w:pPr>
    </w:p>
    <w:p w14:paraId="55D8FEAF" w14:textId="77777777" w:rsidR="003B1790" w:rsidRDefault="003B1790" w:rsidP="003A240E">
      <w:pPr>
        <w:rPr>
          <w:sz w:val="22"/>
          <w:szCs w:val="22"/>
        </w:rPr>
      </w:pPr>
    </w:p>
    <w:p w14:paraId="00AF7298" w14:textId="77777777" w:rsidR="003B1790" w:rsidRDefault="003B1790" w:rsidP="003A240E">
      <w:pPr>
        <w:rPr>
          <w:sz w:val="22"/>
          <w:szCs w:val="22"/>
        </w:rPr>
      </w:pPr>
    </w:p>
    <w:p w14:paraId="65CBDDB9" w14:textId="77777777" w:rsidR="003B1790" w:rsidRDefault="003B1790" w:rsidP="003A240E">
      <w:pPr>
        <w:rPr>
          <w:sz w:val="22"/>
          <w:szCs w:val="22"/>
        </w:rPr>
      </w:pPr>
    </w:p>
    <w:p w14:paraId="5905FE5D" w14:textId="77777777" w:rsidR="003B1790" w:rsidRDefault="003B1790" w:rsidP="003A240E">
      <w:pPr>
        <w:rPr>
          <w:sz w:val="22"/>
          <w:szCs w:val="22"/>
        </w:rPr>
      </w:pPr>
    </w:p>
    <w:p w14:paraId="55FC1A43" w14:textId="77777777" w:rsidR="003B1790" w:rsidRDefault="003B1790" w:rsidP="003A240E">
      <w:pPr>
        <w:rPr>
          <w:sz w:val="22"/>
          <w:szCs w:val="22"/>
        </w:rPr>
      </w:pPr>
    </w:p>
    <w:p w14:paraId="43886C6F" w14:textId="2E9DE6B9" w:rsidR="003B1790" w:rsidRDefault="003B1790" w:rsidP="003A240E">
      <w:pPr>
        <w:rPr>
          <w:sz w:val="22"/>
          <w:szCs w:val="22"/>
        </w:rPr>
      </w:pPr>
    </w:p>
    <w:p w14:paraId="7AA908D7" w14:textId="0DB7372A" w:rsidR="003B1790" w:rsidRDefault="003B1790">
      <w:pPr>
        <w:rPr>
          <w:sz w:val="22"/>
          <w:szCs w:val="22"/>
        </w:rPr>
      </w:pPr>
      <w:r w:rsidRPr="005D257C">
        <w:rPr>
          <w:noProof/>
          <w:color w:val="FF0000"/>
          <w:sz w:val="22"/>
          <w:szCs w:val="22"/>
          <w:lang w:val="es-MX" w:eastAsia="es-MX"/>
        </w:rPr>
        <w:lastRenderedPageBreak/>
        <mc:AlternateContent>
          <mc:Choice Requires="wps">
            <w:drawing>
              <wp:anchor distT="45720" distB="45720" distL="114300" distR="114300" simplePos="0" relativeHeight="252139008" behindDoc="0" locked="0" layoutInCell="1" allowOverlap="1" wp14:anchorId="48CC0413" wp14:editId="35120A7B">
                <wp:simplePos x="0" y="0"/>
                <wp:positionH relativeFrom="margin">
                  <wp:align>center</wp:align>
                </wp:positionH>
                <wp:positionV relativeFrom="margin">
                  <wp:align>center</wp:align>
                </wp:positionV>
                <wp:extent cx="4010025" cy="20288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5378B0D4" w14:textId="65AC1332" w:rsidR="003B1790" w:rsidRPr="00C35B08" w:rsidRDefault="00E04C32" w:rsidP="003B1790">
                            <w:pPr>
                              <w:jc w:val="center"/>
                              <w:rPr>
                                <w:rFonts w:asciiTheme="minorHAnsi" w:hAnsiTheme="minorHAnsi" w:cstheme="minorHAnsi"/>
                                <w:b/>
                                <w:i/>
                                <w:color w:val="FFFFFF" w:themeColor="background1"/>
                                <w:sz w:val="52"/>
                                <w:lang w:val="es-MX"/>
                              </w:rPr>
                            </w:pPr>
                            <w:r>
                              <w:rPr>
                                <w:rFonts w:asciiTheme="minorHAnsi" w:hAnsiTheme="minorHAnsi" w:cstheme="minorHAnsi"/>
                                <w:b/>
                                <w:i/>
                                <w:color w:val="FFFFFF" w:themeColor="background1"/>
                                <w:sz w:val="52"/>
                              </w:rPr>
                              <w:t>VI</w:t>
                            </w:r>
                            <w:r w:rsidR="003B1790" w:rsidRPr="00C35B08">
                              <w:rPr>
                                <w:rFonts w:asciiTheme="minorHAnsi" w:hAnsiTheme="minorHAnsi" w:cstheme="minorHAnsi"/>
                                <w:b/>
                                <w:i/>
                                <w:color w:val="FFFFFF" w:themeColor="background1"/>
                                <w:sz w:val="52"/>
                              </w:rPr>
                              <w:t xml:space="preserve">. </w:t>
                            </w:r>
                            <w:r w:rsidR="003B1790">
                              <w:rPr>
                                <w:rFonts w:asciiTheme="minorHAnsi" w:hAnsiTheme="minorHAnsi" w:cstheme="minorHAnsi"/>
                                <w:b/>
                                <w:i/>
                                <w:color w:val="FFFFFF" w:themeColor="background1"/>
                                <w:sz w:val="52"/>
                              </w:rPr>
                              <w:t>CONCLUSIÓN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CC0413" id="_x0000_s1028" type="#_x0000_t202" style="position:absolute;left:0;text-align:left;margin-left:0;margin-top:0;width:315.75pt;height:159.75pt;z-index:25213900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" filled="f" stroked="f">
                <v:textbox>
                  <w:txbxContent>
                    <w:p w14:paraId="5378B0D4" w14:textId="65AC1332" w:rsidR="003B1790" w:rsidRPr="00C35B08" w:rsidRDefault="00E04C32" w:rsidP="003B1790">
                      <w:pPr>
                        <w:jc w:val="center"/>
                        <w:rPr>
                          <w:rFonts w:asciiTheme="minorHAnsi" w:hAnsiTheme="minorHAnsi" w:cstheme="minorHAnsi"/>
                          <w:b/>
                          <w:i/>
                          <w:color w:val="FFFFFF" w:themeColor="background1"/>
                          <w:sz w:val="52"/>
                          <w:lang w:val="es-MX"/>
                        </w:rPr>
                      </w:pPr>
                      <w:r>
                        <w:rPr>
                          <w:rFonts w:asciiTheme="minorHAnsi" w:hAnsiTheme="minorHAnsi" w:cstheme="minorHAnsi"/>
                          <w:b/>
                          <w:i/>
                          <w:color w:val="FFFFFF" w:themeColor="background1"/>
                          <w:sz w:val="52"/>
                        </w:rPr>
                        <w:t>VI</w:t>
                      </w:r>
                      <w:r w:rsidR="003B1790" w:rsidRPr="00C35B08">
                        <w:rPr>
                          <w:rFonts w:asciiTheme="minorHAnsi" w:hAnsiTheme="minorHAnsi" w:cstheme="minorHAnsi"/>
                          <w:b/>
                          <w:i/>
                          <w:color w:val="FFFFFF" w:themeColor="background1"/>
                          <w:sz w:val="52"/>
                        </w:rPr>
                        <w:t xml:space="preserve">. </w:t>
                      </w:r>
                      <w:r w:rsidR="003B1790">
                        <w:rPr>
                          <w:rFonts w:asciiTheme="minorHAnsi" w:hAnsiTheme="minorHAnsi" w:cstheme="minorHAnsi"/>
                          <w:b/>
                          <w:i/>
                          <w:color w:val="FFFFFF" w:themeColor="background1"/>
                          <w:sz w:val="52"/>
                        </w:rPr>
                        <w:t>CONCLUSIÓN</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36960" behindDoc="1" locked="0" layoutInCell="1" allowOverlap="1" wp14:anchorId="4CA2428A" wp14:editId="12284704">
            <wp:simplePos x="0" y="0"/>
            <wp:positionH relativeFrom="margin">
              <wp:align>center</wp:align>
            </wp:positionH>
            <wp:positionV relativeFrom="margin">
              <wp:align>center</wp:align>
            </wp:positionV>
            <wp:extent cx="5742000" cy="5742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br w:type="page"/>
      </w:r>
    </w:p>
    <w:p w14:paraId="1959B0E8" w14:textId="52FABA74" w:rsidR="006D46B8" w:rsidRDefault="006D46B8" w:rsidP="006D46B8">
      <w:r>
        <w:lastRenderedPageBreak/>
        <w:t>En conclusión, el desempeño financiero del Gobierno del Estado durante el ejercicio fiscal 2025 refleja una administración caracterizada por la prudencia, la disciplina y una adecuada planeación estratégica de los recursos públicos. La implementación de una política de endeudamiento responsable permitió mantener indicadores sostenibles y un cumplimiento puntual de las obligaciones crediticias, respaldado además por una evaluación positiva en el sistema de alertas, lo que confirma la solidez en el manejo de la deuda pública. Paralelamente, el comportamiento de los ingresos evidenció una capacidad recaudatoria fortalecida, al superar significativamente lo estimado, lo que no solo mejora la disponibilidad de recursos, sino que también muestra avances en la eficiencia administrativa y en la consolidación de una estructura tributaria más justa y funcional</w:t>
      </w:r>
      <w:bookmarkStart w:id="1" w:name="_GoBack"/>
      <w:bookmarkEnd w:id="1"/>
      <w:r>
        <w:t>.</w:t>
      </w:r>
    </w:p>
    <w:p w14:paraId="20E4697C" w14:textId="77777777" w:rsidR="006D46B8" w:rsidRDefault="006D46B8" w:rsidP="006D46B8"/>
    <w:p w14:paraId="75AF6C2C" w14:textId="705D4FB6" w:rsidR="006D46B8" w:rsidRDefault="006D46B8" w:rsidP="006D46B8">
      <w:r>
        <w:t>A pesar de la e</w:t>
      </w:r>
      <w:r w:rsidR="001D6EA7">
        <w:t>s</w:t>
      </w:r>
      <w:r>
        <w:t xml:space="preserve">trecha coordinación </w:t>
      </w:r>
      <w:r w:rsidR="001D6EA7">
        <w:t>entre la Federación y el Estado</w:t>
      </w:r>
      <w:r>
        <w:t>, se identifican esfuerzos claros por incrementar los ingresos propios y diversificar las fuentes de financiamiento mediante la generación de recursos por parte de los distintos entes públicos. Este enfoque contribuye a robustecer la autonomía financiera del Estado y a reducir gradualmente la vulnerabilidad ante cambios en las transferencias federales. Asimismo, la orientación del gasto bajo principios de austeridad y eficiencia permitió canalizar los recursos hacia sectores prioritarios, destacando el desarrollo social como eje central de la política pública, lo cual refleja un compromiso firme con la reducción de desigualdades y el mejoramiento de las condiciones de vida de la población.</w:t>
      </w:r>
    </w:p>
    <w:p w14:paraId="65D5C1AD" w14:textId="77777777" w:rsidR="006D46B8" w:rsidRDefault="006D46B8" w:rsidP="006D46B8"/>
    <w:p w14:paraId="1E11C7AA" w14:textId="5474070D" w:rsidR="0069364D" w:rsidRPr="00000091" w:rsidRDefault="006D46B8" w:rsidP="006D46B8">
      <w:r>
        <w:t xml:space="preserve">En conjunto, la interacción equilibrada entre una deuda controlada, ingresos fortalecidos y un gasto público estratégicamente orientado, da como resultado una posición financiera sólida y sostenible. Esto no solo garantiza la estabilidad en el corto plazo, sino que también </w:t>
      </w:r>
      <w:r>
        <w:lastRenderedPageBreak/>
        <w:t>sienta las bases para un crecimiento económico más incluyente y sostenido, consolidando la capacidad del Estado para enfrentar retos futuros y continuar impulsando el desarrollo integral de Michoacán.</w:t>
      </w:r>
    </w:p>
    <w:sectPr w:rsidR="0069364D" w:rsidRPr="00000091" w:rsidSect="00D6216B">
      <w:headerReference w:type="even" r:id="rId22"/>
      <w:headerReference w:type="default" r:id="rId23"/>
      <w:footerReference w:type="default" r:id="rId24"/>
      <w:headerReference w:type="first" r:id="rId25"/>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A62C4" w14:textId="77777777" w:rsidR="00CF7BE8" w:rsidRDefault="00CF7BE8" w:rsidP="006A5067">
      <w:pPr>
        <w:spacing w:before="0" w:after="0" w:line="240" w:lineRule="auto"/>
      </w:pPr>
      <w:r>
        <w:separator/>
      </w:r>
    </w:p>
  </w:endnote>
  <w:endnote w:type="continuationSeparator" w:id="0">
    <w:p w14:paraId="6F726530" w14:textId="77777777" w:rsidR="00CF7BE8" w:rsidRDefault="00CF7BE8"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EB2A94" w:rsidRDefault="00EB2A94">
        <w:pPr>
          <w:pStyle w:val="Piedepgina"/>
          <w:jc w:val="center"/>
        </w:pPr>
        <w:r>
          <w:fldChar w:fldCharType="begin"/>
        </w:r>
        <w:r>
          <w:instrText>PAGE   \* MERGEFORMAT</w:instrText>
        </w:r>
        <w:r>
          <w:fldChar w:fldCharType="separate"/>
        </w:r>
        <w:r w:rsidR="000963C1">
          <w:rPr>
            <w:noProof/>
          </w:rPr>
          <w:t>21</w:t>
        </w:r>
        <w:r>
          <w:fldChar w:fldCharType="end"/>
        </w:r>
      </w:p>
      <w:p w14:paraId="52C352FB" w14:textId="751E8667" w:rsidR="00EB2A94" w:rsidRDefault="00EB2A94">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EB2A94" w:rsidRDefault="00EB2A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990F2" w14:textId="77777777" w:rsidR="00CF7BE8" w:rsidRDefault="00CF7BE8" w:rsidP="006A5067">
      <w:pPr>
        <w:spacing w:before="0" w:after="0" w:line="240" w:lineRule="auto"/>
      </w:pPr>
      <w:bookmarkStart w:id="0" w:name="_Hlk71019289"/>
      <w:bookmarkEnd w:id="0"/>
      <w:r>
        <w:separator/>
      </w:r>
    </w:p>
  </w:footnote>
  <w:footnote w:type="continuationSeparator" w:id="0">
    <w:p w14:paraId="7860DA67" w14:textId="77777777" w:rsidR="00CF7BE8" w:rsidRDefault="00CF7BE8"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EB2A94" w:rsidRDefault="00CF7BE8">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6AA11238" w:rsidR="00EB2A94" w:rsidRDefault="00E86FB5">
    <w:pPr>
      <w:pStyle w:val="Encabezado"/>
    </w:pPr>
    <w:r>
      <w:rPr>
        <w:noProof/>
        <w:lang w:val="es-MX" w:eastAsia="es-MX"/>
      </w:rPr>
      <mc:AlternateContent>
        <mc:Choice Requires="wps">
          <w:drawing>
            <wp:anchor distT="45720" distB="45720" distL="114300" distR="114300" simplePos="0" relativeHeight="251666432" behindDoc="0" locked="0" layoutInCell="1" allowOverlap="1" wp14:anchorId="5624755B" wp14:editId="3737F13F">
              <wp:simplePos x="0" y="0"/>
              <wp:positionH relativeFrom="page">
                <wp:align>center</wp:align>
              </wp:positionH>
              <wp:positionV relativeFrom="paragraph">
                <wp:posOffset>168910</wp:posOffset>
              </wp:positionV>
              <wp:extent cx="236093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noFill/>
                      <a:ln w="9525">
                        <a:noFill/>
                        <a:miter lim="800000"/>
                        <a:headEnd/>
                        <a:tailEnd/>
                      </a:ln>
                    </wps:spPr>
                    <wps:txbx>
                      <w:txbxContent>
                        <w:p w14:paraId="0125B50A" w14:textId="77777777" w:rsidR="00E86FB5" w:rsidRPr="00E86FB5" w:rsidRDefault="00E86FB5" w:rsidP="00E86FB5">
                          <w:pPr>
                            <w:jc w:val="center"/>
                            <w:rPr>
                              <w:rFonts w:ascii="Calibri" w:hAnsi="Calibri" w:cs="Calibri"/>
                              <w:b/>
                              <w:bCs/>
                              <w:i/>
                              <w:iCs/>
                              <w:color w:val="FFE1E9"/>
                              <w:sz w:val="48"/>
                              <w:szCs w:val="40"/>
                            </w:rPr>
                          </w:pPr>
                          <w:r w:rsidRPr="00E86FB5">
                            <w:rPr>
                              <w:rFonts w:ascii="Calibri" w:hAnsi="Calibri" w:cs="Calibri"/>
                              <w:b/>
                              <w:bCs/>
                              <w:i/>
                              <w:iCs/>
                              <w:color w:val="FFE1E9"/>
                              <w:sz w:val="40"/>
                              <w:szCs w:val="40"/>
                            </w:rPr>
                            <w:t>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24755B" id="_x0000_t202" coordsize="21600,21600" o:spt="202" path="m,l,21600r21600,l21600,xe">
              <v:stroke joinstyle="miter"/>
              <v:path gradientshapeok="t" o:connecttype="rect"/>
            </v:shapetype>
            <v:shape id="_x0000_s1029" type="#_x0000_t202" style="position:absolute;left:0;text-align:left;margin-left:0;margin-top:13.3pt;width:185.9pt;height:31.5pt;z-index:2516664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" filled="f" stroked="f">
              <v:textbox>
                <w:txbxContent>
                  <w:p w14:paraId="0125B50A" w14:textId="77777777" w:rsidR="00E86FB5" w:rsidRPr="00E86FB5" w:rsidRDefault="00E86FB5" w:rsidP="00E86FB5">
                    <w:pPr>
                      <w:jc w:val="center"/>
                      <w:rPr>
                        <w:rFonts w:ascii="Calibri" w:hAnsi="Calibri" w:cs="Calibri"/>
                        <w:b/>
                        <w:bCs/>
                        <w:i/>
                        <w:iCs/>
                        <w:color w:val="FFE1E9"/>
                        <w:sz w:val="48"/>
                        <w:szCs w:val="40"/>
                      </w:rPr>
                    </w:pPr>
                    <w:r w:rsidRPr="00E86FB5">
                      <w:rPr>
                        <w:rFonts w:ascii="Calibri" w:hAnsi="Calibri" w:cs="Calibri"/>
                        <w:b/>
                        <w:bCs/>
                        <w:i/>
                        <w:iCs/>
                        <w:color w:val="FFE1E9"/>
                        <w:sz w:val="40"/>
                        <w:szCs w:val="40"/>
                      </w:rPr>
                      <w:t>2025</w:t>
                    </w:r>
                  </w:p>
                </w:txbxContent>
              </v:textbox>
              <w10:wrap anchorx="page"/>
            </v:shape>
          </w:pict>
        </mc:Fallback>
      </mc:AlternateContent>
    </w:r>
    <w:r>
      <w:rPr>
        <w:noProof/>
        <w:lang w:val="es-MX" w:eastAsia="es-MX"/>
      </w:rPr>
      <w:drawing>
        <wp:anchor distT="0" distB="0" distL="114300" distR="114300" simplePos="0" relativeHeight="251664384" behindDoc="1" locked="0" layoutInCell="1" allowOverlap="1" wp14:anchorId="7F4F6FD7" wp14:editId="6286901C">
          <wp:simplePos x="0" y="0"/>
          <wp:positionH relativeFrom="margin">
            <wp:align>center</wp:align>
          </wp:positionH>
          <wp:positionV relativeFrom="paragraph">
            <wp:posOffset>8890</wp:posOffset>
          </wp:positionV>
          <wp:extent cx="7362825" cy="527045"/>
          <wp:effectExtent l="0" t="0" r="0" b="6985"/>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2825" cy="527045"/>
                  </a:xfrm>
                  <a:prstGeom prst="rect">
                    <a:avLst/>
                  </a:prstGeom>
                  <a:noFill/>
                </pic:spPr>
              </pic:pic>
            </a:graphicData>
          </a:graphic>
          <wp14:sizeRelH relativeFrom="margin">
            <wp14:pctWidth>0</wp14:pctWidth>
          </wp14:sizeRelH>
        </wp:anchor>
      </w:drawing>
    </w:r>
    <w:r w:rsidR="00CF7BE8">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0pt;margin-top:-87.8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EB2A94" w:rsidRDefault="00CF7BE8">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1C1F"/>
    <w:multiLevelType w:val="multilevel"/>
    <w:tmpl w:val="18B8A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4E3334B9"/>
    <w:multiLevelType w:val="multilevel"/>
    <w:tmpl w:val="DC9E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11"/>
  </w:num>
  <w:num w:numId="3">
    <w:abstractNumId w:val="9"/>
  </w:num>
  <w:num w:numId="4">
    <w:abstractNumId w:val="17"/>
  </w:num>
  <w:num w:numId="5">
    <w:abstractNumId w:val="15"/>
  </w:num>
  <w:num w:numId="6">
    <w:abstractNumId w:val="14"/>
  </w:num>
  <w:num w:numId="7">
    <w:abstractNumId w:val="8"/>
  </w:num>
  <w:num w:numId="8">
    <w:abstractNumId w:val="1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7"/>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16"/>
  </w:num>
  <w:num w:numId="17">
    <w:abstractNumId w:val="10"/>
  </w:num>
  <w:num w:numId="18">
    <w:abstractNumId w:val="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091"/>
    <w:rsid w:val="0000073A"/>
    <w:rsid w:val="000007D8"/>
    <w:rsid w:val="00000D3A"/>
    <w:rsid w:val="00001357"/>
    <w:rsid w:val="00002197"/>
    <w:rsid w:val="00002310"/>
    <w:rsid w:val="00002413"/>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28"/>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888"/>
    <w:rsid w:val="00037B5C"/>
    <w:rsid w:val="0004012D"/>
    <w:rsid w:val="0004014C"/>
    <w:rsid w:val="000405D9"/>
    <w:rsid w:val="00040D58"/>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5A"/>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994"/>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218"/>
    <w:rsid w:val="00094892"/>
    <w:rsid w:val="000952DC"/>
    <w:rsid w:val="000963C1"/>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6BED"/>
    <w:rsid w:val="001274E9"/>
    <w:rsid w:val="00127755"/>
    <w:rsid w:val="0012783B"/>
    <w:rsid w:val="00127BB6"/>
    <w:rsid w:val="001304B9"/>
    <w:rsid w:val="001315AB"/>
    <w:rsid w:val="0013162C"/>
    <w:rsid w:val="00131D95"/>
    <w:rsid w:val="00131EE0"/>
    <w:rsid w:val="001322C0"/>
    <w:rsid w:val="001326CC"/>
    <w:rsid w:val="001328C0"/>
    <w:rsid w:val="00133294"/>
    <w:rsid w:val="00133656"/>
    <w:rsid w:val="00133C02"/>
    <w:rsid w:val="00133E4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8A9"/>
    <w:rsid w:val="001579DE"/>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A19"/>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7"/>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67B3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45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B5F"/>
    <w:rsid w:val="002C4C7E"/>
    <w:rsid w:val="002C4E45"/>
    <w:rsid w:val="002C5401"/>
    <w:rsid w:val="002C55A6"/>
    <w:rsid w:val="002C55B0"/>
    <w:rsid w:val="002C5BD7"/>
    <w:rsid w:val="002C63E9"/>
    <w:rsid w:val="002C7871"/>
    <w:rsid w:val="002D04D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0D20"/>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478DF"/>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400"/>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8EB"/>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790"/>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4A08"/>
    <w:rsid w:val="003E4FDF"/>
    <w:rsid w:val="003E5108"/>
    <w:rsid w:val="003E5151"/>
    <w:rsid w:val="003E5733"/>
    <w:rsid w:val="003E5A6B"/>
    <w:rsid w:val="003E5BC3"/>
    <w:rsid w:val="003E5F45"/>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4C7"/>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B0E"/>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657"/>
    <w:rsid w:val="004B6B71"/>
    <w:rsid w:val="004B7827"/>
    <w:rsid w:val="004C0297"/>
    <w:rsid w:val="004C10A1"/>
    <w:rsid w:val="004C1AF4"/>
    <w:rsid w:val="004C200F"/>
    <w:rsid w:val="004C2139"/>
    <w:rsid w:val="004C2704"/>
    <w:rsid w:val="004C378B"/>
    <w:rsid w:val="004C3D5A"/>
    <w:rsid w:val="004C3F61"/>
    <w:rsid w:val="004C41EF"/>
    <w:rsid w:val="004C4AE1"/>
    <w:rsid w:val="004C4C2F"/>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38"/>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0B8"/>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863"/>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638"/>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A5B"/>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3D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64D"/>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6B8"/>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26E7"/>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1C0"/>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10C"/>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45C"/>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E0E"/>
    <w:rsid w:val="00893FEE"/>
    <w:rsid w:val="00894D96"/>
    <w:rsid w:val="008952CA"/>
    <w:rsid w:val="0089565E"/>
    <w:rsid w:val="0089587A"/>
    <w:rsid w:val="00895C01"/>
    <w:rsid w:val="00896A1C"/>
    <w:rsid w:val="00896CDC"/>
    <w:rsid w:val="00896D59"/>
    <w:rsid w:val="00896E01"/>
    <w:rsid w:val="00896E5D"/>
    <w:rsid w:val="00896F0E"/>
    <w:rsid w:val="00897392"/>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0E35"/>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82"/>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4E8"/>
    <w:rsid w:val="0098057F"/>
    <w:rsid w:val="00980A7C"/>
    <w:rsid w:val="00980D5E"/>
    <w:rsid w:val="00981D40"/>
    <w:rsid w:val="00982595"/>
    <w:rsid w:val="0098273B"/>
    <w:rsid w:val="009828EE"/>
    <w:rsid w:val="00982B39"/>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4DC"/>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0B18"/>
    <w:rsid w:val="009D135B"/>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0B7E"/>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052"/>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1D3"/>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3D6"/>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5B0"/>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6B8"/>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09A4"/>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579"/>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18"/>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5DB4"/>
    <w:rsid w:val="00BB6004"/>
    <w:rsid w:val="00BB6732"/>
    <w:rsid w:val="00BB6AE7"/>
    <w:rsid w:val="00BB6D9A"/>
    <w:rsid w:val="00BB703E"/>
    <w:rsid w:val="00BB721D"/>
    <w:rsid w:val="00BB7261"/>
    <w:rsid w:val="00BB7C95"/>
    <w:rsid w:val="00BC077C"/>
    <w:rsid w:val="00BC0D99"/>
    <w:rsid w:val="00BC0FE7"/>
    <w:rsid w:val="00BC1E9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633"/>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4909"/>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5B08"/>
    <w:rsid w:val="00C35F9F"/>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B5C"/>
    <w:rsid w:val="00C70CBA"/>
    <w:rsid w:val="00C7154C"/>
    <w:rsid w:val="00C7157D"/>
    <w:rsid w:val="00C71A51"/>
    <w:rsid w:val="00C71CE7"/>
    <w:rsid w:val="00C71D61"/>
    <w:rsid w:val="00C725CF"/>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58C"/>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29C"/>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C4C"/>
    <w:rsid w:val="00CF6F1F"/>
    <w:rsid w:val="00CF7413"/>
    <w:rsid w:val="00CF76EE"/>
    <w:rsid w:val="00CF792B"/>
    <w:rsid w:val="00CF7A56"/>
    <w:rsid w:val="00CF7BE8"/>
    <w:rsid w:val="00CF7E8D"/>
    <w:rsid w:val="00D0056E"/>
    <w:rsid w:val="00D00667"/>
    <w:rsid w:val="00D008E3"/>
    <w:rsid w:val="00D00EF5"/>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A31"/>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54"/>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3AA"/>
    <w:rsid w:val="00D616A1"/>
    <w:rsid w:val="00D618F9"/>
    <w:rsid w:val="00D61A1B"/>
    <w:rsid w:val="00D61D98"/>
    <w:rsid w:val="00D6216B"/>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616"/>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601"/>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38"/>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77C"/>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C32"/>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6EE1"/>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7CA"/>
    <w:rsid w:val="00E84FA5"/>
    <w:rsid w:val="00E852F9"/>
    <w:rsid w:val="00E85452"/>
    <w:rsid w:val="00E85758"/>
    <w:rsid w:val="00E86081"/>
    <w:rsid w:val="00E86588"/>
    <w:rsid w:val="00E86740"/>
    <w:rsid w:val="00E86AB4"/>
    <w:rsid w:val="00E86CD3"/>
    <w:rsid w:val="00E86FB5"/>
    <w:rsid w:val="00E877D5"/>
    <w:rsid w:val="00E878C3"/>
    <w:rsid w:val="00E87A89"/>
    <w:rsid w:val="00E90688"/>
    <w:rsid w:val="00E906F5"/>
    <w:rsid w:val="00E92501"/>
    <w:rsid w:val="00E92C75"/>
    <w:rsid w:val="00E930A1"/>
    <w:rsid w:val="00E930DD"/>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2A94"/>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2B0A"/>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A3C"/>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846"/>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84"/>
    <w:rsid w:val="00F901A7"/>
    <w:rsid w:val="00F91916"/>
    <w:rsid w:val="00F92228"/>
    <w:rsid w:val="00F92480"/>
    <w:rsid w:val="00F92C45"/>
    <w:rsid w:val="00F92F73"/>
    <w:rsid w:val="00F93246"/>
    <w:rsid w:val="00F934DE"/>
    <w:rsid w:val="00F93C36"/>
    <w:rsid w:val="00F94274"/>
    <w:rsid w:val="00F94A13"/>
    <w:rsid w:val="00F94EBC"/>
    <w:rsid w:val="00F9518B"/>
    <w:rsid w:val="00F95E89"/>
    <w:rsid w:val="00F95F1E"/>
    <w:rsid w:val="00F96135"/>
    <w:rsid w:val="00F96402"/>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1C60"/>
    <w:rsid w:val="00FB2200"/>
    <w:rsid w:val="00FB2DA0"/>
    <w:rsid w:val="00FB324A"/>
    <w:rsid w:val="00FB3731"/>
    <w:rsid w:val="00FB3A5C"/>
    <w:rsid w:val="00FB3F68"/>
    <w:rsid w:val="00FB4016"/>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6FCA"/>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relative">
    <w:name w:val="relative"/>
    <w:basedOn w:val="Fuentedeprrafopredeter"/>
    <w:rsid w:val="00D613AA"/>
  </w:style>
  <w:style w:type="character" w:styleId="Textoennegrita">
    <w:name w:val="Strong"/>
    <w:basedOn w:val="Fuentedeprrafopredeter"/>
    <w:uiPriority w:val="22"/>
    <w:qFormat/>
    <w:rsid w:val="00406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1967363">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7501820">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07754882">
      <w:bodyDiv w:val="1"/>
      <w:marLeft w:val="0"/>
      <w:marRight w:val="0"/>
      <w:marTop w:val="0"/>
      <w:marBottom w:val="0"/>
      <w:divBdr>
        <w:top w:val="none" w:sz="0" w:space="0" w:color="auto"/>
        <w:left w:val="none" w:sz="0" w:space="0" w:color="auto"/>
        <w:bottom w:val="none" w:sz="0" w:space="0" w:color="auto"/>
        <w:right w:val="none" w:sz="0" w:space="0" w:color="auto"/>
      </w:divBdr>
    </w:div>
    <w:div w:id="1034304454">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2603131">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1996761328">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B4733C-25A3-482B-897F-F49A19FC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25</Pages>
  <Words>2862</Words>
  <Characters>15745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14</cp:revision>
  <cp:lastPrinted>2025-04-30T02:15:00Z</cp:lastPrinted>
  <dcterms:created xsi:type="dcterms:W3CDTF">2026-04-06T16:20:00Z</dcterms:created>
  <dcterms:modified xsi:type="dcterms:W3CDTF">2026-04-27T19:48:00Z</dcterms:modified>
</cp:coreProperties>
</file>